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Приложение № 4 к Техническим требованиям</w:t>
      </w:r>
      <w:r>
        <w:rPr>
          <w:rFonts w:ascii="Times New Roman" w:hAnsi="Times New Roman" w:cs="Times New Roman"/>
          <w:sz w:val="20"/>
          <w:szCs w:val="20"/>
        </w:rPr>
        <w:br/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Требования к оформлению и составлению документации по ценообразованию</w:t>
      </w:r>
      <w:r>
        <w:rPr>
          <w:rFonts w:ascii="Times New Roman" w:hAnsi="Times New Roman" w:cs="Times New Roman"/>
          <w:b/>
          <w:sz w:val="28"/>
          <w:szCs w:val="28"/>
        </w:rPr>
        <w:br/>
      </w:r>
      <w:r>
        <w:rPr>
          <w:rFonts w:ascii="Times New Roman" w:hAnsi="Times New Roman" w:cs="Times New Roman"/>
          <w:sz w:val="20"/>
          <w:szCs w:val="20"/>
        </w:rPr>
        <w:br/>
      </w:r>
      <w:r>
        <w:rPr>
          <w:rFonts w:ascii="Times New Roman" w:hAnsi="Times New Roman" w:cs="Times New Roman"/>
          <w:b/>
          <w:sz w:val="24"/>
          <w:szCs w:val="24"/>
        </w:rPr>
        <w:t xml:space="preserve">Требования к составлению сметной документации: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</w:t>
      </w:r>
      <w:r>
        <w:rPr>
          <w:rFonts w:ascii="Times New Roman" w:hAnsi="Times New Roman" w:cs="Times New Roman"/>
          <w:sz w:val="24"/>
          <w:szCs w:val="24"/>
        </w:rPr>
        <w:tab/>
        <w:t xml:space="preserve">Использование нормативов ценообразования, не зарегистрированных и не вошедших в ФРСН, не допускается, кроме случаев, прямо ук</w:t>
      </w:r>
      <w:r>
        <w:rPr>
          <w:rFonts w:ascii="Times New Roman" w:hAnsi="Times New Roman" w:cs="Times New Roman"/>
          <w:sz w:val="24"/>
          <w:szCs w:val="24"/>
        </w:rPr>
        <w:t xml:space="preserve">азанных в настоящих требованиях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</w:t>
      </w:r>
      <w:r>
        <w:rPr>
          <w:rFonts w:ascii="Times New Roman" w:hAnsi="Times New Roman" w:cs="Times New Roman"/>
          <w:sz w:val="24"/>
          <w:szCs w:val="24"/>
        </w:rPr>
        <w:tab/>
        <w:t xml:space="preserve">Версия программного комплекса «Гранд-Смета» (далее–ПК «Гранд-смета») должна быть не ниже 2021.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При составлении смет руководствоваться «Методикой определения сметной стоимости строительства»,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</w:t>
      </w:r>
      <w:r>
        <w:rPr>
          <w:rFonts w:ascii="Times New Roman" w:hAnsi="Times New Roman" w:cs="Times New Roman"/>
          <w:sz w:val="24"/>
          <w:szCs w:val="24"/>
        </w:rPr>
        <w:t xml:space="preserve">уры) народов Российской Федерации на территории Российской Федерации», введенной в действие Приказом Министерства строительства и ЖКХ РФ от 04.08.2020 № 421/пр. (далее – Методика определения сметной стоимости строительства) с учетом изменений и дополнений.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</w:t>
      </w:r>
      <w:r>
        <w:rPr>
          <w:rFonts w:ascii="Times New Roman" w:hAnsi="Times New Roman" w:cs="Times New Roman"/>
          <w:sz w:val="24"/>
          <w:szCs w:val="24"/>
        </w:rPr>
        <w:tab/>
        <w:t xml:space="preserve">При составлении сметной документации необходимо использовать сметно-нормати</w:t>
      </w:r>
      <w:r>
        <w:rPr>
          <w:rFonts w:ascii="Times New Roman" w:hAnsi="Times New Roman" w:cs="Times New Roman"/>
          <w:sz w:val="24"/>
          <w:szCs w:val="24"/>
        </w:rPr>
        <w:t xml:space="preserve">вную базу «ФСНБ - 2022 с изм.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1-1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6</w:t>
      </w:r>
      <w:r>
        <w:rPr>
          <w:rFonts w:ascii="Times New Roman" w:hAnsi="Times New Roman" w:cs="Times New Roman"/>
          <w:sz w:val="24"/>
          <w:szCs w:val="24"/>
        </w:rPr>
        <w:t xml:space="preserve">».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</w:t>
      </w:r>
      <w:r>
        <w:rPr>
          <w:rFonts w:ascii="Times New Roman" w:hAnsi="Times New Roman" w:cs="Times New Roman"/>
          <w:sz w:val="24"/>
          <w:szCs w:val="24"/>
        </w:rPr>
        <w:tab/>
        <w:t xml:space="preserve">Определение сметной стоимости работ при новом строительстве возможно следующими методами: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4"/>
        <w:spacing w:line="240" w:lineRule="auto"/>
        <w:ind w:left="0" w:right="0" w:firstLine="709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4"/>
          <w:szCs w:val="24"/>
        </w:rPr>
        <w:t xml:space="preserve">5.1.</w:t>
      </w:r>
      <w:r>
        <w:rPr>
          <w:rFonts w:ascii="Times New Roman" w:hAnsi="Times New Roman" w:cs="Times New Roman"/>
          <w:sz w:val="24"/>
          <w:szCs w:val="24"/>
        </w:rPr>
        <w:tab/>
        <w:t xml:space="preserve">Ресурсно-</w:t>
      </w:r>
      <w:r>
        <w:rPr>
          <w:rFonts w:ascii="Times New Roman" w:hAnsi="Times New Roman" w:cs="Times New Roman"/>
          <w:sz w:val="24"/>
          <w:szCs w:val="24"/>
        </w:rPr>
        <w:t xml:space="preserve">индексным методом</w:t>
      </w:r>
      <w:r>
        <w:rPr>
          <w:rFonts w:ascii="Times New Roman" w:hAnsi="Times New Roman" w:cs="Times New Roman"/>
          <w:sz w:val="24"/>
          <w:szCs w:val="24"/>
        </w:rPr>
        <w:t xml:space="preserve"> (РИМ)  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 использов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анием сметных норм, сметных цен строительных ресурсов в базисном уровне цен и одновременным применением информации о сметных ценах, размещенной в ФГИС ЦС, а также индексов изменения сметной стоимости к составляющим единичных расценок в базисном уровне цен</w:t>
      </w:r>
      <w:r>
        <w:rPr>
          <w:rFonts w:ascii="Times New Roman" w:hAnsi="Times New Roman" w:cs="Times New Roman"/>
          <w:sz w:val="24"/>
          <w:szCs w:val="24"/>
        </w:rPr>
        <w:t xml:space="preserve">. Сметная стоимость строительства, определенная с применением </w:t>
      </w:r>
      <w:r>
        <w:rPr>
          <w:rFonts w:ascii="Times New Roman" w:hAnsi="Times New Roman" w:cs="Times New Roman"/>
          <w:sz w:val="24"/>
          <w:szCs w:val="24"/>
        </w:rPr>
        <w:t xml:space="preserve">ресурсно-</w:t>
      </w:r>
      <w:r>
        <w:rPr>
          <w:rFonts w:ascii="Times New Roman" w:hAnsi="Times New Roman" w:cs="Times New Roman"/>
          <w:sz w:val="24"/>
          <w:szCs w:val="24"/>
        </w:rPr>
        <w:t xml:space="preserve">индексного метода</w:t>
      </w:r>
      <w:r>
        <w:rPr>
          <w:rFonts w:ascii="Times New Roman" w:hAnsi="Times New Roman" w:cs="Times New Roman"/>
          <w:sz w:val="24"/>
          <w:szCs w:val="24"/>
        </w:rPr>
        <w:t xml:space="preserve">, приводится в локальных сметных расчетах (далее – ЛСР), локальных сметах (далее -ЛС) в текущем уровне цен.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32"/>
        </w:rPr>
      </w:r>
      <w:r>
        <w:rPr>
          <w:rFonts w:ascii="Times New Roman" w:hAnsi="Times New Roman" w:cs="Times New Roman"/>
          <w:sz w:val="28"/>
          <w:szCs w:val="32"/>
        </w:rPr>
      </w:r>
    </w:p>
    <w:p>
      <w:pPr>
        <w:spacing w:after="0"/>
        <w:ind w:firstLine="708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6.</w:t>
      </w:r>
      <w:r>
        <w:rPr>
          <w:rFonts w:ascii="Times New Roman" w:hAnsi="Times New Roman" w:cs="Times New Roman"/>
          <w:sz w:val="24"/>
          <w:szCs w:val="24"/>
          <w:highlight w:val="white"/>
        </w:rPr>
        <w:tab/>
        <w:t xml:space="preserve">При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отсутствии информации о сметных ценах в ФГИС ЦС и ФСБЦ по материальным ресурсам и оборудованию, их сметная цена формируется методом  анализа ТКП в соответствии с Приложением №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1.5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Требования к оформлению и составлению сметной докуме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нтации по наименьшему вар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ианту. 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</w:t>
      </w:r>
      <w:r>
        <w:rPr>
          <w:rFonts w:ascii="Times New Roman" w:hAnsi="Times New Roman" w:cs="Times New Roman"/>
          <w:sz w:val="24"/>
          <w:szCs w:val="24"/>
        </w:rPr>
        <w:tab/>
        <w:t xml:space="preserve"> Сметная документация разработана Заказчиком согласно следующих ценовых показателей (критериев):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в ценах 4 квартала 2025 года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по сборникам ГЭСН,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ГЭСН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м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, ГЭСНр,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ГЭСН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п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в редакции 2022 г. с изм.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1-16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ресурсно-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индексным методом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.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Текущий уровень цен определить по Сплит-форме индексов и сметных цен для ценовой зоны Приморский край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на 4 квартал 2025 года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*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</w:t>
      </w:r>
      <w:r>
        <w:rPr>
          <w:rFonts w:ascii="Times New Roman" w:hAnsi="Times New Roman" w:cs="Times New Roman"/>
          <w:sz w:val="24"/>
          <w:szCs w:val="24"/>
        </w:rPr>
        <w:tab/>
        <w:t xml:space="preserve">Сметная цена материальных ресурсов и (или) оборудования (далее - МТР), закупаемых на территории региона субъекта Российской Федерации, определенным в базисном уровне цен по состоянию на 01.01.2022 с исп</w:t>
      </w:r>
      <w:r>
        <w:rPr>
          <w:rFonts w:ascii="Times New Roman" w:hAnsi="Times New Roman" w:cs="Times New Roman"/>
          <w:sz w:val="24"/>
          <w:szCs w:val="24"/>
        </w:rPr>
        <w:t xml:space="preserve">ользованием ФСБЦ-2022, индексов по группам однородных строительных ресурсов, размещенных в федеральной государственной информационной системе ценообразования в строительстве (далее - ФГИС ЦС) по субъекту Российской Федерации, а при ее отсутствии информации</w:t>
      </w:r>
      <w:r>
        <w:rPr>
          <w:rFonts w:ascii="Times New Roman" w:hAnsi="Times New Roman" w:cs="Times New Roman"/>
          <w:sz w:val="24"/>
          <w:szCs w:val="24"/>
        </w:rPr>
        <w:t xml:space="preserve"> во ФГИС ЦС и ФСНБ-2022, определена с учетом транспортных и заготовительно-складских затрат (за исключением материалов и оборудования, стоимость которых учтена по ресурс</w:t>
      </w:r>
      <w:r>
        <w:rPr>
          <w:rFonts w:ascii="Times New Roman" w:hAnsi="Times New Roman" w:cs="Times New Roman"/>
          <w:sz w:val="24"/>
          <w:szCs w:val="24"/>
        </w:rPr>
        <w:t xml:space="preserve">ной карте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АО «ДГК» на 2026 </w:t>
      </w:r>
      <w:r>
        <w:rPr>
          <w:rFonts w:ascii="Times New Roman" w:hAnsi="Times New Roman" w:cs="Times New Roman"/>
          <w:sz w:val="24"/>
          <w:szCs w:val="24"/>
        </w:rPr>
        <w:t xml:space="preserve">год). </w:t>
      </w:r>
      <w:r>
        <w:rPr>
          <w:rFonts w:ascii="Times New Roman" w:hAnsi="Times New Roman" w:cs="Times New Roman"/>
          <w:sz w:val="24"/>
          <w:szCs w:val="24"/>
        </w:rPr>
        <w:t xml:space="preserve">При определении сметной стоимости в 2-х уровнях цен (текущем и б</w:t>
      </w:r>
      <w:r>
        <w:rPr>
          <w:rFonts w:ascii="Times New Roman" w:hAnsi="Times New Roman" w:cs="Times New Roman"/>
          <w:sz w:val="24"/>
          <w:szCs w:val="24"/>
        </w:rPr>
        <w:t xml:space="preserve">азисном), стоимость указанных материальных ресурсов и оборудования, определяется в базисном уровне цен как отношение их стоимости в текущем уровне цен к соответствующим индексам изменения сметной стоимости, примененным при составлении сметной документации.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</w:t>
      </w:r>
      <w:r>
        <w:rPr>
          <w:rFonts w:ascii="Times New Roman" w:hAnsi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Транспортные затраты оп</w:t>
      </w:r>
      <w:r>
        <w:rPr>
          <w:rFonts w:ascii="Times New Roman" w:hAnsi="Times New Roman" w:cs="Times New Roman"/>
          <w:sz w:val="24"/>
          <w:szCs w:val="24"/>
        </w:rPr>
        <w:t xml:space="preserve">ределяются следующими методами: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/>
        <w:ind w:firstLine="708"/>
        <w:rPr>
          <w:rFonts w:ascii="Times New Roman" w:hAnsi="Times New Roman" w:cs="Times New Roman"/>
          <w:color w:val="auto"/>
          <w:sz w:val="24"/>
          <w:szCs w:val="24"/>
          <w:highlight w:val="whit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9.1. по</w:t>
      </w:r>
      <w:r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доставке материальных ресурсов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:</w:t>
      </w:r>
      <w:r>
        <w:rPr>
          <w:rFonts w:ascii="Times New Roman" w:hAnsi="Times New Roman" w:cs="Times New Roman"/>
          <w:color w:val="auto"/>
          <w:sz w:val="24"/>
          <w:szCs w:val="24"/>
          <w:highlight w:val="white"/>
        </w:rPr>
      </w:r>
      <w:r>
        <w:rPr>
          <w:rFonts w:ascii="Times New Roman" w:hAnsi="Times New Roman" w:cs="Times New Roman"/>
          <w:color w:val="auto"/>
          <w:sz w:val="24"/>
          <w:szCs w:val="24"/>
          <w:highlight w:val="white"/>
        </w:rPr>
      </w:r>
    </w:p>
    <w:p>
      <w:pPr>
        <w:spacing w:after="0"/>
        <w:ind w:firstLine="708"/>
        <w:rPr>
          <w:rFonts w:ascii="Times New Roman" w:hAnsi="Times New Roman" w:cs="Times New Roman"/>
          <w:color w:val="auto"/>
          <w:sz w:val="24"/>
          <w:szCs w:val="24"/>
          <w:highlight w:val="whit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-</w:t>
      </w:r>
      <w:r>
        <w:rPr>
          <w:rFonts w:ascii="Times New Roman" w:hAnsi="Times New Roman" w:cs="Times New Roman"/>
          <w:color w:val="auto"/>
          <w:sz w:val="24"/>
          <w:szCs w:val="24"/>
          <w:highlight w:val="white"/>
        </w:rPr>
        <w:tab/>
        <w:t xml:space="preserve">расчетом с учетом расстоян</w:t>
      </w:r>
      <w:r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ия перевозки</w:t>
      </w:r>
      <w:r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(</w:t>
      </w:r>
      <w:r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23</w:t>
      </w:r>
      <w:r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км для магистральной тепловой </w:t>
      </w:r>
      <w:r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«Техперевооружение участка тепловой сети от УТ1724А в сторону УТ1725, с 2Ду720 мм на 2Ду820 мм, для подключения объекта «Жилой дом, расположенный по адресу: г. Владивосток, ул. Достоевского 4»» (шифр РП 3785-16-20ТС.АС.)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)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класса грузов, типа транспорта, наличии погрузо-разгрузочных работ, информации о ценах на услуги на перевозку грузов, в зависимости от вида транспорта (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автомобили бортовые, автомобили-самосвалы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), включенных в ФГИС ЦС и в соответствии со сметными нормативами, включенными в ФРСН;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highlight w:val="white"/>
        </w:rPr>
      </w:r>
      <w:r>
        <w:rPr>
          <w:rFonts w:ascii="Times New Roman" w:hAnsi="Times New Roman" w:cs="Times New Roman"/>
          <w:color w:val="auto"/>
          <w:sz w:val="24"/>
          <w:szCs w:val="24"/>
          <w:highlight w:val="white"/>
        </w:rPr>
      </w:r>
    </w:p>
    <w:p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</w:t>
      </w:r>
      <w:r>
        <w:rPr>
          <w:rFonts w:ascii="Times New Roman" w:hAnsi="Times New Roman" w:cs="Times New Roman"/>
          <w:sz w:val="24"/>
          <w:szCs w:val="24"/>
        </w:rPr>
        <w:tab/>
        <w:t xml:space="preserve">в размере до 3-х процентов от отпускной цены материальных ресурсов (при невозможности определить затраты указанными выше способами), по решению заказчика;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/>
        <w:ind w:firstLine="708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t xml:space="preserve">-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 текущим ценам на основании калькулятора транспорт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ных компаний, с выбором транспортировщика на основании данных конъюнктурного анализа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.</w:t>
      </w:r>
      <w:r>
        <w:rPr>
          <w:rFonts w:ascii="Times New Roman" w:hAnsi="Times New Roman" w:cs="Times New Roman"/>
          <w:sz w:val="24"/>
          <w:szCs w:val="24"/>
          <w:highlight w:val="yellow"/>
        </w:rPr>
      </w:r>
      <w:r>
        <w:rPr>
          <w:rFonts w:ascii="Times New Roman" w:hAnsi="Times New Roman" w:cs="Times New Roman"/>
          <w:sz w:val="24"/>
          <w:szCs w:val="24"/>
          <w:highlight w:val="yellow"/>
        </w:rPr>
      </w:r>
    </w:p>
    <w:p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Заготовительно-складские расходы определяются в % от суммы отпускной цены материалов, изделий, конструкций, оборудования и транспортных затрат: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</w:t>
      </w:r>
      <w:r>
        <w:rPr>
          <w:rFonts w:ascii="Times New Roman" w:hAnsi="Times New Roman" w:cs="Times New Roman"/>
          <w:sz w:val="24"/>
          <w:szCs w:val="24"/>
        </w:rPr>
        <w:tab/>
        <w:t xml:space="preserve">2% - для материальных ресурсов (кроме металлоконструкций);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</w:t>
      </w:r>
      <w:r>
        <w:rPr>
          <w:rFonts w:ascii="Times New Roman" w:hAnsi="Times New Roman" w:cs="Times New Roman"/>
          <w:sz w:val="24"/>
          <w:szCs w:val="24"/>
        </w:rPr>
        <w:tab/>
        <w:t xml:space="preserve">1,2% - для оборудования.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</w:t>
      </w:r>
      <w:r>
        <w:rPr>
          <w:rFonts w:ascii="Times New Roman" w:hAnsi="Times New Roman" w:cs="Times New Roman"/>
          <w:sz w:val="24"/>
          <w:szCs w:val="24"/>
        </w:rPr>
        <w:tab/>
        <w:t xml:space="preserve">По предоставляемым грузоподъемным механизмам, учтенным в составе сметных норм и расценок: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Исключать из норм и расценок предоставляемые грузоподъемные механизмы.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случае использования подрядчиком собственных/арендованных механизмов полностью, либо частично, для выполнения конкретной работы на строительной площадке, из расценки на выполнение данных работ грузоподъемные механизмы не исключаются также </w:t>
      </w:r>
      <w:r>
        <w:rPr>
          <w:rFonts w:ascii="Times New Roman" w:hAnsi="Times New Roman" w:cs="Times New Roman"/>
          <w:sz w:val="24"/>
          <w:szCs w:val="24"/>
        </w:rPr>
        <w:t xml:space="preserve">из расценок</w:t>
      </w:r>
      <w:r>
        <w:rPr>
          <w:rFonts w:ascii="Times New Roman" w:hAnsi="Times New Roman" w:cs="Times New Roman"/>
          <w:sz w:val="24"/>
          <w:szCs w:val="24"/>
        </w:rPr>
        <w:t xml:space="preserve"> включенных в ФРСН подлежат исключению давальческие материалы – вода, вода </w:t>
      </w:r>
      <w:r>
        <w:rPr>
          <w:rFonts w:ascii="Times New Roman" w:hAnsi="Times New Roman" w:cs="Times New Roman"/>
          <w:sz w:val="24"/>
          <w:szCs w:val="24"/>
        </w:rPr>
        <w:t xml:space="preserve">химочищенная</w:t>
      </w:r>
      <w:r>
        <w:rPr>
          <w:rFonts w:ascii="Times New Roman" w:hAnsi="Times New Roman" w:cs="Times New Roman"/>
          <w:sz w:val="24"/>
          <w:szCs w:val="24"/>
        </w:rPr>
        <w:t xml:space="preserve">, электроэнергия.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</w:t>
      </w:r>
      <w:r>
        <w:rPr>
          <w:rFonts w:ascii="Times New Roman" w:hAnsi="Times New Roman" w:cs="Times New Roman"/>
          <w:sz w:val="24"/>
          <w:szCs w:val="24"/>
        </w:rPr>
        <w:tab/>
        <w:t xml:space="preserve">Поправочные коэффициенты из технической части к расценкам (например, на демонтаж или для учета особых условий выполнения работ) учитываются индивидуально для каждой позиции и в выходных формах при выгрузке в формат «</w:t>
      </w:r>
      <w:r>
        <w:rPr>
          <w:rFonts w:ascii="Times New Roman" w:hAnsi="Times New Roman" w:cs="Times New Roman"/>
          <w:sz w:val="24"/>
          <w:szCs w:val="24"/>
        </w:rPr>
        <w:t xml:space="preserve">Excel</w:t>
      </w:r>
      <w:r>
        <w:rPr>
          <w:rFonts w:ascii="Times New Roman" w:hAnsi="Times New Roman" w:cs="Times New Roman"/>
          <w:sz w:val="24"/>
          <w:szCs w:val="24"/>
        </w:rPr>
        <w:t xml:space="preserve">» указываются </w:t>
      </w:r>
      <w:r>
        <w:rPr>
          <w:rFonts w:ascii="Times New Roman" w:hAnsi="Times New Roman" w:cs="Times New Roman"/>
          <w:sz w:val="24"/>
          <w:szCs w:val="24"/>
        </w:rPr>
        <w:t xml:space="preserve">попозиционно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/>
        <w:ind w:firstLine="708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cs="Times New Roman"/>
          <w:sz w:val="24"/>
          <w:szCs w:val="24"/>
        </w:rPr>
        <w:t xml:space="preserve">13.</w:t>
      </w:r>
      <w:r>
        <w:rPr>
          <w:rFonts w:ascii="Times New Roman" w:hAnsi="Times New Roman" w:cs="Times New Roman"/>
          <w:sz w:val="24"/>
          <w:szCs w:val="24"/>
        </w:rPr>
        <w:tab/>
        <w:t xml:space="preserve">Резерв средств на непредвиденные работы и затраты -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3%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Порядок расчета за непредвиденные работы и затраты оговаривать в договоре подряда.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14.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При формировании цены по сборникам </w:t>
      </w:r>
      <w:r>
        <w:rPr>
          <w:rFonts w:ascii="Times New Roman" w:hAnsi="Times New Roman" w:cs="Times New Roman"/>
          <w:sz w:val="24"/>
          <w:szCs w:val="24"/>
        </w:rPr>
        <w:t xml:space="preserve">ГЭСН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 xml:space="preserve">ГЭСН, </w:t>
      </w:r>
      <w:r>
        <w:rPr>
          <w:rFonts w:ascii="Times New Roman" w:hAnsi="Times New Roman" w:cs="Times New Roman"/>
          <w:sz w:val="24"/>
          <w:szCs w:val="24"/>
        </w:rPr>
        <w:t xml:space="preserve">ГЭСН</w:t>
      </w:r>
      <w:r>
        <w:rPr>
          <w:rFonts w:ascii="Times New Roman" w:hAnsi="Times New Roman" w:cs="Times New Roman"/>
          <w:sz w:val="24"/>
          <w:szCs w:val="24"/>
        </w:rPr>
        <w:t xml:space="preserve">м, ГЭСНр</w:t>
      </w:r>
      <w:r>
        <w:rPr>
          <w:rFonts w:ascii="Times New Roman" w:hAnsi="Times New Roman" w:cs="Times New Roman"/>
          <w:sz w:val="24"/>
          <w:szCs w:val="24"/>
        </w:rPr>
        <w:t xml:space="preserve">) нормативы сметной прибыли принимать на СМР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–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40% от ФОТ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/>
        <w:ind w:firstLine="708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</w:rPr>
        <w:t xml:space="preserve">15.</w:t>
      </w:r>
      <w:r>
        <w:rPr>
          <w:rFonts w:ascii="Times New Roman" w:hAnsi="Times New Roman" w:cs="Times New Roman"/>
          <w:sz w:val="24"/>
          <w:szCs w:val="24"/>
        </w:rPr>
        <w:tab/>
        <w:t xml:space="preserve">При определении сметных затрат на демонтаж строительных конструкций и оборудования стоимость погрузки, перевозки (от строительной площадки до места утилизации или складирования) и разгрузки строитель</w:t>
      </w:r>
      <w:r>
        <w:rPr>
          <w:rFonts w:ascii="Times New Roman" w:hAnsi="Times New Roman" w:cs="Times New Roman"/>
          <w:sz w:val="24"/>
          <w:szCs w:val="24"/>
        </w:rPr>
        <w:t xml:space="preserve">ного мусора и материалов, получе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нных при разборке строительных конструкций и оборудования, следует учитывать дополнительно, на основании проектной и (или) иной технической документации, проекта организации работ по сносу объекта капитального строительства.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spacing w:after="0"/>
        <w:ind w:firstLine="708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15.1</w:t>
      </w:r>
      <w:r>
        <w:rPr>
          <w:rFonts w:ascii="Times New Roman" w:hAnsi="Times New Roman" w:cs="Times New Roman"/>
          <w:sz w:val="24"/>
          <w:szCs w:val="24"/>
          <w:highlight w:val="white"/>
        </w:rPr>
        <w:tab/>
        <w:t xml:space="preserve">Р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асстояни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е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перевозки</w:t>
      </w:r>
      <w:r>
        <w:rPr>
          <w:sz w:val="24"/>
          <w:szCs w:val="24"/>
          <w:highlight w:val="white"/>
        </w:rPr>
        <w:t xml:space="preserve">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до места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утилизации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(20</w:t>
      </w:r>
      <w:r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км </w:t>
      </w:r>
      <w:r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для магистральной тепловой сети:</w:t>
      </w:r>
      <w:r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«Техперевооружение участка тепловой сети от УТ1724А в сторону УТ1725, с 2Ду720 мм на 2Ду820 мм, для подключения объекта «Жилой дом, расположенный по адресу: г. Владивосток, ул. Достоевского 4»»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(шифр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РП 3785-16-20ТС.АС.)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)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,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информации о ценах на услуги на перевозку грузов, в зависимости от вида транспорта (автомобили бортовые, автомобили-самосвалы), включенных в ФГИС ЦС и в соответствии со сметными норма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тивами, включенными в ФРСН.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16.</w:t>
      </w:r>
      <w:r>
        <w:rPr>
          <w:rFonts w:ascii="Times New Roman" w:hAnsi="Times New Roman" w:cs="Times New Roman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В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локальных сметных расчетах построчные и итоговые суммы округля</w:t>
      </w:r>
      <w:r>
        <w:rPr>
          <w:rFonts w:ascii="Times New Roman" w:hAnsi="Times New Roman" w:cs="Times New Roman"/>
          <w:sz w:val="24"/>
          <w:szCs w:val="24"/>
        </w:rPr>
        <w:t xml:space="preserve">ть: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</w:t>
      </w:r>
      <w:r>
        <w:rPr>
          <w:rFonts w:ascii="Times New Roman" w:hAnsi="Times New Roman" w:cs="Times New Roman"/>
          <w:sz w:val="24"/>
          <w:szCs w:val="24"/>
        </w:rPr>
        <w:tab/>
        <w:t xml:space="preserve">при ресурсно-индексном и ресурсным методах, а также в сметных расчетах на отдельные виды затрат - в рублях до целых единиц.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17.</w:t>
      </w:r>
      <w:r>
        <w:rPr>
          <w:rFonts w:ascii="Times New Roman" w:hAnsi="Times New Roman" w:cs="Times New Roman"/>
          <w:sz w:val="24"/>
          <w:szCs w:val="24"/>
        </w:rPr>
        <w:tab/>
        <w:t xml:space="preserve">Выходные формы сметных расчетов должны соответствовать Образцам по приложениям 1.</w:t>
      </w:r>
      <w:r>
        <w:rPr>
          <w:rFonts w:ascii="Times New Roman" w:hAnsi="Times New Roman" w:cs="Times New Roman"/>
          <w:sz w:val="24"/>
          <w:szCs w:val="24"/>
        </w:rPr>
        <w:t xml:space="preserve">4</w:t>
      </w:r>
      <w:r>
        <w:rPr>
          <w:rFonts w:ascii="Times New Roman" w:hAnsi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18.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В</w:t>
      </w:r>
      <w:r>
        <w:rPr>
          <w:rFonts w:ascii="Times New Roman" w:hAnsi="Times New Roman" w:cs="Times New Roman"/>
          <w:sz w:val="24"/>
          <w:szCs w:val="24"/>
        </w:rPr>
        <w:t xml:space="preserve"> случае предоставления Заказчиком услуг, указанных в разделе Технических требований «Иные условия поставки товаров, выполнения работ, оказания услуг»: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19.1.</w:t>
      </w:r>
      <w:r>
        <w:rPr>
          <w:rFonts w:ascii="Times New Roman" w:hAnsi="Times New Roman" w:cs="Times New Roman"/>
          <w:sz w:val="24"/>
          <w:szCs w:val="24"/>
        </w:rPr>
        <w:tab/>
        <w:t xml:space="preserve">Из норм и расценок, внесенных в ФРСН, при составлении сметной документации исключать затраты: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19.1.1.</w:t>
      </w:r>
      <w:r>
        <w:rPr>
          <w:rFonts w:ascii="Times New Roman" w:hAnsi="Times New Roman" w:cs="Times New Roman"/>
          <w:sz w:val="24"/>
          <w:szCs w:val="24"/>
        </w:rPr>
        <w:tab/>
        <w:t xml:space="preserve">По предоставляемой электроэнергии (в том числе, в составе стоимости машино-часа)</w:t>
      </w:r>
      <w:r>
        <w:rPr>
          <w:rFonts w:ascii="Times New Roman" w:hAnsi="Times New Roman" w:cs="Times New Roman"/>
          <w:sz w:val="24"/>
          <w:szCs w:val="24"/>
        </w:rPr>
        <w:t xml:space="preserve">, воды</w:t>
      </w:r>
      <w:r>
        <w:rPr>
          <w:rFonts w:ascii="Times New Roman" w:hAnsi="Times New Roman" w:cs="Times New Roman"/>
          <w:sz w:val="24"/>
          <w:szCs w:val="24"/>
        </w:rPr>
        <w:t xml:space="preserve">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</w:t>
      </w:r>
      <w:r>
        <w:rPr>
          <w:rFonts w:ascii="Times New Roman" w:hAnsi="Times New Roman" w:cs="Times New Roman"/>
          <w:sz w:val="24"/>
          <w:szCs w:val="24"/>
        </w:rPr>
        <w:tab/>
        <w:t xml:space="preserve">Индекс пересчета в текущие цены применять аналогичный примененному в сметной документации.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</w:t>
      </w:r>
      <w:r>
        <w:rPr>
          <w:rFonts w:ascii="Times New Roman" w:hAnsi="Times New Roman" w:cs="Times New Roman"/>
          <w:sz w:val="24"/>
          <w:szCs w:val="24"/>
        </w:rPr>
        <w:tab/>
        <w:t xml:space="preserve">При применении индексов по статьям затрат в сметной документации для данного ресурса применять индекс на материалы.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19.1.2.</w:t>
      </w:r>
      <w:r>
        <w:rPr>
          <w:rFonts w:ascii="Times New Roman" w:hAnsi="Times New Roman" w:cs="Times New Roman"/>
          <w:sz w:val="24"/>
          <w:szCs w:val="24"/>
        </w:rPr>
        <w:tab/>
        <w:t xml:space="preserve">По предоставляемому сжатому воздуху: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</w:t>
      </w:r>
      <w:r>
        <w:rPr>
          <w:rFonts w:ascii="Times New Roman" w:hAnsi="Times New Roman" w:cs="Times New Roman"/>
          <w:sz w:val="24"/>
          <w:szCs w:val="24"/>
        </w:rPr>
        <w:tab/>
        <w:t xml:space="preserve">Из норм и расценок исключать стоимость</w:t>
      </w:r>
      <w:r>
        <w:rPr>
          <w:rFonts w:ascii="Times New Roman" w:hAnsi="Times New Roman" w:cs="Times New Roman"/>
          <w:sz w:val="24"/>
          <w:szCs w:val="24"/>
        </w:rPr>
        <w:t xml:space="preserve"> агрегатов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наполнительно-</w:t>
      </w:r>
      <w:r>
        <w:rPr>
          <w:rFonts w:ascii="Times New Roman" w:hAnsi="Times New Roman" w:cs="Times New Roman"/>
          <w:sz w:val="24"/>
          <w:szCs w:val="24"/>
        </w:rPr>
        <w:t xml:space="preserve">опрессовочны</w:t>
      </w:r>
      <w:r>
        <w:rPr>
          <w:rFonts w:ascii="Times New Roman" w:hAnsi="Times New Roman" w:cs="Times New Roman"/>
          <w:sz w:val="24"/>
          <w:szCs w:val="24"/>
        </w:rPr>
        <w:t xml:space="preserve">х</w:t>
      </w:r>
      <w:r>
        <w:rPr>
          <w:rFonts w:ascii="Times New Roman" w:hAnsi="Times New Roman" w:cs="Times New Roman"/>
          <w:sz w:val="24"/>
          <w:szCs w:val="24"/>
        </w:rPr>
        <w:t xml:space="preserve">, компрессор</w:t>
      </w:r>
      <w:r>
        <w:rPr>
          <w:rFonts w:ascii="Times New Roman" w:hAnsi="Times New Roman" w:cs="Times New Roman"/>
          <w:sz w:val="24"/>
          <w:szCs w:val="24"/>
        </w:rPr>
        <w:t xml:space="preserve">ов</w:t>
      </w:r>
      <w:r>
        <w:rPr>
          <w:rFonts w:ascii="Times New Roman" w:hAnsi="Times New Roman" w:cs="Times New Roman"/>
          <w:sz w:val="24"/>
          <w:szCs w:val="24"/>
        </w:rPr>
        <w:t xml:space="preserve"> передвижны</w:t>
      </w:r>
      <w:r>
        <w:rPr>
          <w:rFonts w:ascii="Times New Roman" w:hAnsi="Times New Roman" w:cs="Times New Roman"/>
          <w:sz w:val="24"/>
          <w:szCs w:val="24"/>
        </w:rPr>
        <w:t xml:space="preserve">х</w:t>
      </w:r>
      <w:r>
        <w:rPr>
          <w:rFonts w:ascii="Times New Roman" w:hAnsi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В</w:t>
      </w:r>
      <w:r>
        <w:rPr>
          <w:rFonts w:ascii="Times New Roman" w:hAnsi="Times New Roman" w:cs="Times New Roman"/>
          <w:sz w:val="24"/>
          <w:szCs w:val="24"/>
        </w:rPr>
        <w:t xml:space="preserve"> сметных расчетах при исключении и добавлении ресурсов (материалов) необходимо данные ресурсы относить в отдельную позицию, не допуска</w:t>
      </w:r>
      <w:r>
        <w:rPr>
          <w:rFonts w:ascii="Times New Roman" w:hAnsi="Times New Roman" w:cs="Times New Roman"/>
          <w:sz w:val="24"/>
          <w:szCs w:val="24"/>
        </w:rPr>
        <w:t xml:space="preserve">ется изменение внутри расценки.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21.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В</w:t>
      </w:r>
      <w:r>
        <w:rPr>
          <w:rFonts w:ascii="Times New Roman" w:hAnsi="Times New Roman" w:cs="Times New Roman"/>
          <w:sz w:val="24"/>
          <w:szCs w:val="24"/>
        </w:rPr>
        <w:t xml:space="preserve"> случае заключений дополнительных соглашений к договору (далее - д/с), ЛСР необходимо выполнять в накопительной форме с учетом ЛСР (ЛС) к основному договору и ко всем заключенным д/с к нему.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22.</w:t>
      </w:r>
      <w:r>
        <w:rPr>
          <w:rFonts w:ascii="Times New Roman" w:hAnsi="Times New Roman" w:cs="Times New Roman"/>
          <w:sz w:val="24"/>
          <w:szCs w:val="24"/>
        </w:rPr>
        <w:tab/>
        <w:t xml:space="preserve">ЛСР (ЛС) разрабатываются отдельно на исключаемые и дополнительные объемы работ. К сметной документации дополнительно прилагаются и являются ее неотъемлемой частью с</w:t>
      </w:r>
      <w:r>
        <w:rPr>
          <w:rFonts w:ascii="Times New Roman" w:hAnsi="Times New Roman" w:cs="Times New Roman"/>
          <w:sz w:val="24"/>
          <w:szCs w:val="24"/>
        </w:rPr>
        <w:t xml:space="preserve">опоставительные ведомости изменения сметной стоимости и сопоставительные ведомости изменения объемов работ, подготовленные в соответствии с Образцом по Приложениям №№ 1.1 и 1.4 к Требования </w:t>
      </w:r>
      <w:r>
        <w:rPr>
          <w:rFonts w:ascii="Times New Roman" w:hAnsi="Times New Roman" w:cs="Times New Roman"/>
          <w:sz w:val="22"/>
          <w:szCs w:val="22"/>
        </w:rPr>
        <w:t xml:space="preserve">к оформлению и составлению документации</w:t>
      </w:r>
      <w:r>
        <w:rPr>
          <w:rFonts w:ascii="Times New Roman" w:hAnsi="Times New Roman" w:cs="Times New Roman"/>
          <w:sz w:val="22"/>
          <w:szCs w:val="22"/>
        </w:rPr>
        <w:t xml:space="preserve"> по ценообразованию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</w:t>
      </w:r>
      <w:r>
        <w:rPr>
          <w:rFonts w:ascii="Times New Roman" w:hAnsi="Times New Roman" w:cs="Times New Roman"/>
          <w:sz w:val="24"/>
          <w:szCs w:val="24"/>
        </w:rPr>
        <w:t xml:space="preserve">3.</w:t>
      </w:r>
      <w:r>
        <w:rPr>
          <w:rFonts w:ascii="Times New Roman" w:hAnsi="Times New Roman" w:cs="Times New Roman"/>
          <w:sz w:val="24"/>
          <w:szCs w:val="24"/>
        </w:rPr>
        <w:tab/>
        <w:t xml:space="preserve">ЛС являются приложениями к ССР. Нумерация приложений указывается по мере включения ЛС в ССР в накопительной форме - по порядку.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Разраб</w:t>
      </w:r>
      <w:r>
        <w:rPr>
          <w:rFonts w:ascii="Times New Roman" w:hAnsi="Times New Roman" w:cs="Times New Roman"/>
          <w:sz w:val="24"/>
          <w:szCs w:val="24"/>
        </w:rPr>
        <w:t xml:space="preserve">атывается сводный сметный расчет (ССР), определяющий общую сметную стоимость строительства с учетом произведенных изменений проектной и (или) иной технической документации на полный объем работ с учетом объемов корректировки (исключаемых и дополнительных).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Разнесение затрат (сумм ЛС) по графам и главам ССР осуществлять в соответствии с указаниями Методики определения сметной стоимости строительства.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</w:t>
      </w:r>
      <w:r>
        <w:rPr>
          <w:rFonts w:ascii="Times New Roman" w:hAnsi="Times New Roman" w:cs="Times New Roman"/>
          <w:sz w:val="24"/>
          <w:szCs w:val="24"/>
        </w:rPr>
        <w:t xml:space="preserve">4.</w:t>
      </w:r>
      <w:r>
        <w:rPr>
          <w:rFonts w:ascii="Times New Roman" w:hAnsi="Times New Roman" w:cs="Times New Roman"/>
          <w:sz w:val="24"/>
          <w:szCs w:val="24"/>
        </w:rPr>
        <w:tab/>
        <w:t xml:space="preserve"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ССР, построчные и итоговые суммы указывать в рублях с округлением до целого значения. Указать величину НДС в рублях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 округлением до двух знаков после запятой.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</w:t>
      </w:r>
      <w:r>
        <w:rPr>
          <w:rFonts w:ascii="Times New Roman" w:hAnsi="Times New Roman" w:cs="Times New Roman"/>
          <w:sz w:val="24"/>
          <w:szCs w:val="24"/>
        </w:rPr>
        <w:t xml:space="preserve">5.</w:t>
      </w:r>
      <w:r>
        <w:rPr>
          <w:rFonts w:ascii="Times New Roman" w:hAnsi="Times New Roman" w:cs="Times New Roman"/>
          <w:sz w:val="24"/>
          <w:szCs w:val="24"/>
        </w:rPr>
        <w:tab/>
        <w:t xml:space="preserve">Сметная документация должна быть</w:t>
      </w:r>
      <w:r>
        <w:rPr>
          <w:rFonts w:ascii="Times New Roman" w:hAnsi="Times New Roman" w:cs="Times New Roman"/>
          <w:sz w:val="24"/>
          <w:szCs w:val="24"/>
        </w:rPr>
        <w:t xml:space="preserve"> представлена в двух вариантах: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</w:t>
      </w:r>
      <w:r>
        <w:rPr>
          <w:rFonts w:ascii="Times New Roman" w:hAnsi="Times New Roman" w:cs="Times New Roman"/>
          <w:sz w:val="24"/>
          <w:szCs w:val="24"/>
        </w:rPr>
        <w:tab/>
        <w:t xml:space="preserve">на бумажном носителе (количество указано в конкурсной документации) Образец ЛСР в соответствии с приложением № 1.4 к Требования к оформлению и составлению документации по ценообразованию;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</w:t>
      </w:r>
      <w:r>
        <w:rPr>
          <w:rFonts w:ascii="Times New Roman" w:hAnsi="Times New Roman" w:cs="Times New Roman"/>
          <w:sz w:val="24"/>
          <w:szCs w:val="24"/>
        </w:rPr>
        <w:tab/>
        <w:t xml:space="preserve">на электронном носителе (в формате «</w:t>
      </w:r>
      <w:r>
        <w:rPr>
          <w:rFonts w:ascii="Times New Roman" w:hAnsi="Times New Roman" w:cs="Times New Roman"/>
          <w:sz w:val="24"/>
          <w:szCs w:val="24"/>
        </w:rPr>
        <w:t xml:space="preserve">xml</w:t>
      </w:r>
      <w:r>
        <w:rPr>
          <w:rFonts w:ascii="Times New Roman" w:hAnsi="Times New Roman" w:cs="Times New Roman"/>
          <w:sz w:val="24"/>
          <w:szCs w:val="24"/>
        </w:rPr>
        <w:t xml:space="preserve">» ПК «Гранд-Смета», «</w:t>
      </w:r>
      <w:r>
        <w:rPr>
          <w:rFonts w:ascii="Times New Roman" w:hAnsi="Times New Roman" w:cs="Times New Roman"/>
          <w:sz w:val="24"/>
          <w:szCs w:val="24"/>
        </w:rPr>
        <w:t xml:space="preserve">Excel</w:t>
      </w:r>
      <w:r>
        <w:rPr>
          <w:rFonts w:ascii="Times New Roman" w:hAnsi="Times New Roman" w:cs="Times New Roman"/>
          <w:sz w:val="24"/>
          <w:szCs w:val="24"/>
        </w:rPr>
        <w:t xml:space="preserve">», «</w:t>
      </w:r>
      <w:r>
        <w:rPr>
          <w:rFonts w:ascii="Times New Roman" w:hAnsi="Times New Roman" w:cs="Times New Roman"/>
          <w:sz w:val="24"/>
          <w:szCs w:val="24"/>
        </w:rPr>
        <w:t xml:space="preserve">pdf</w:t>
      </w:r>
      <w:r>
        <w:rPr>
          <w:rFonts w:ascii="Times New Roman" w:hAnsi="Times New Roman" w:cs="Times New Roman"/>
          <w:sz w:val="24"/>
          <w:szCs w:val="24"/>
        </w:rPr>
        <w:t xml:space="preserve">»), полностью соответствующему, бумажному варианту. Сметная документация в формате «</w:t>
      </w:r>
      <w:r>
        <w:rPr>
          <w:rFonts w:ascii="Times New Roman" w:hAnsi="Times New Roman" w:cs="Times New Roman"/>
          <w:sz w:val="24"/>
          <w:szCs w:val="24"/>
        </w:rPr>
        <w:t xml:space="preserve">Excel</w:t>
      </w:r>
      <w:r>
        <w:rPr>
          <w:rFonts w:ascii="Times New Roman" w:hAnsi="Times New Roman" w:cs="Times New Roman"/>
          <w:sz w:val="24"/>
          <w:szCs w:val="24"/>
        </w:rPr>
        <w:t xml:space="preserve">» должна быть представлена в одном файле с внесением ССР, ЛСР и других расчетов на отдельные листы (вкладки) документа.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/>
        <w:ind w:firstLine="708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cs="Times New Roman"/>
          <w:sz w:val="24"/>
          <w:szCs w:val="24"/>
        </w:rPr>
        <w:t xml:space="preserve">-</w:t>
      </w:r>
      <w:r>
        <w:rPr>
          <w:rFonts w:ascii="Times New Roman" w:hAnsi="Times New Roman" w:cs="Times New Roman"/>
          <w:sz w:val="24"/>
          <w:szCs w:val="24"/>
        </w:rPr>
        <w:tab/>
        <w:t xml:space="preserve">в формате ПК «Гранд-смета» выходная форма для печати указана ниже: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spacing w:after="0"/>
        <w:ind w:firstLine="70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  <w:highlight w:val="none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sectPr>
          <w:headerReference w:type="default" r:id="rId9"/>
          <w:footerReference w:type="default" r:id="rId10"/>
          <w:footnotePr/>
          <w:endnotePr/>
          <w:type w:val="nextPage"/>
          <w:pgSz w:w="11906" w:h="16838" w:orient="portrait"/>
          <w:pgMar w:top="850" w:right="850" w:bottom="1134" w:left="1417" w:header="709" w:footer="709" w:gutter="0"/>
          <w:cols w:num="1" w:sep="0" w:space="708" w:equalWidth="1"/>
          <w:docGrid w:linePitch="360"/>
        </w:sectPr>
      </w:pPr>
    </w:p>
    <w:p>
      <w:pPr>
        <w:spacing w:after="0"/>
        <w:ind w:firstLine="708"/>
        <w:rPr>
          <w:rFonts w:ascii="Times New Roman" w:hAnsi="Times New Roman" w:cs="Times New Roman"/>
          <w:sz w:val="20"/>
          <w:szCs w:val="20"/>
        </w:rPr>
        <w:sectPr>
          <w:footnotePr/>
          <w:endnotePr/>
          <w:type w:val="continuous"/>
          <w:pgSz w:w="11906" w:h="16838" w:orient="portrait"/>
          <w:pgMar w:top="850" w:right="850" w:bottom="1134" w:left="1417" w:header="709" w:footer="709" w:gutter="0"/>
          <w:cols w:num="1" w:sep="0" w:space="708" w:equalWidth="1"/>
          <w:docGrid w:linePitch="360"/>
        </w:sect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br/>
      </w:r>
      <w:r>
        <w:rPr>
          <w:rFonts w:ascii="Times New Roman" w:hAnsi="Times New Roman" w:cs="Times New Roman"/>
          <w:sz w:val="20"/>
          <w:szCs w:val="20"/>
        </w:rPr>
        <w:tab/>
      </w: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6120765" cy="3739916"/>
                <wp:effectExtent l="0" t="0" r="0" b="0"/>
                <wp:docPr id="1" nam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22110928" name="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1"/>
                        <a:stretch/>
                      </pic:blipFill>
                      <pic:spPr bwMode="auto">
                        <a:xfrm>
                          <a:off x="0" y="0"/>
                          <a:ext cx="6120765" cy="373991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481.95pt;height:294.48pt;mso-wrap-distance-left:0.00pt;mso-wrap-distance-top:0.00pt;mso-wrap-distance-right:0.00pt;mso-wrap-distance-bottom:0.00pt;" stroked="false">
                <v:path textboxrect="0,0,0,0"/>
                <v:imagedata r:id="rId11" o:title=""/>
              </v:shape>
            </w:pict>
          </mc:Fallback>
        </mc:AlternateConten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spacing w:after="0"/>
        <w:ind w:firstLine="708"/>
        <w:rPr>
          <w:rFonts w:ascii="Times New Roman" w:hAnsi="Times New Roman" w:cs="Times New Roman"/>
          <w:sz w:val="20"/>
          <w:szCs w:val="20"/>
        </w:rPr>
        <w:sectPr>
          <w:footnotePr/>
          <w:endnotePr/>
          <w:type w:val="continuous"/>
          <w:pgSz w:w="11906" w:h="16838" w:orient="portrait"/>
          <w:pgMar w:top="850" w:right="850" w:bottom="1134" w:left="1417" w:header="709" w:footer="709" w:gutter="0"/>
          <w:cols w:num="1" w:sep="0" w:space="708" w:equalWidth="1"/>
          <w:docGrid w:linePitch="360"/>
        </w:sect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spacing w:after="0"/>
        <w:ind w:firstLine="70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/>
        <w:tab/>
        <w:tab/>
        <w:tab/>
        <w:tab/>
        <w:tab/>
        <w:tab/>
        <w:tab/>
        <w:tab/>
      </w:r>
      <w:r>
        <w:rPr>
          <w:sz w:val="18"/>
          <w:szCs w:val="18"/>
        </w:rPr>
        <w:t xml:space="preserve">Приложение №1.1 </w:t>
      </w:r>
      <w:r>
        <w:rPr>
          <w:rFonts w:ascii="Times New Roman" w:hAnsi="Times New Roman" w:cs="Times New Roman"/>
          <w:sz w:val="22"/>
          <w:szCs w:val="22"/>
        </w:rPr>
        <w:t xml:space="preserve">к </w:t>
      </w:r>
      <w:r>
        <w:rPr>
          <w:rFonts w:ascii="Times New Roman" w:hAnsi="Times New Roman" w:cs="Times New Roman"/>
          <w:sz w:val="22"/>
          <w:szCs w:val="22"/>
        </w:rPr>
        <w:t xml:space="preserve">Требованиям к оформлению и составлению документации</w:t>
      </w:r>
      <w:r>
        <w:rPr>
          <w:rFonts w:ascii="Times New Roman" w:hAnsi="Times New Roman" w:cs="Times New Roman"/>
          <w:sz w:val="22"/>
          <w:szCs w:val="22"/>
        </w:rPr>
        <w:t xml:space="preserve"> по ценообразованию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pStyle w:val="858"/>
        <w:jc w:val="right"/>
      </w:pPr>
      <w:bookmarkStart w:id="0" w:name="undefined"/>
      <w:bookmarkStart w:id="0" w:name="undefined"/>
      <w:bookmarkStart w:id="0" w:name="undefined"/>
      <w:bookmarkStart w:id="0" w:name="undefined"/>
      <w:bookmarkStart w:id="0" w:name="undefined"/>
      <w:bookmarkStart w:id="0" w:name="undefined"/>
      <w:bookmarkStart w:id="0" w:name="undefined"/>
      <w:bookmarkStart w:id="0" w:name="undefined"/>
      <w:bookmarkStart w:id="0" w:name="undefined"/>
      <w:bookmarkStart w:id="0" w:name="undefined"/>
      <w:bookmarkStart w:id="0" w:name="undefined"/>
      <w:bookmarkStart w:id="0" w:name="undefined"/>
      <w:bookmarkStart w:id="0" w:name="undefined"/>
      <w:bookmarkStart w:id="0" w:name="undefined"/>
      <w:bookmarkStart w:id="0" w:name="undefined"/>
      <w:bookmarkStart w:id="0" w:name="undefined"/>
      <w:bookmarkStart w:id="0" w:name="undefined"/>
      <w:bookmarkStart w:id="0" w:name="undefined"/>
      <w:bookmarkEnd w:id="0"/>
      <w:r>
        <w:rPr>
          <w:rFonts w:ascii="Times New Roman" w:hAnsi="Times New Roman"/>
        </w:rPr>
      </w:r>
    </w:p>
    <w:tbl>
      <w:tblPr>
        <w:tblW w:w="1445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3464"/>
        <w:gridCol w:w="10993"/>
      </w:tblGrid>
      <w:tr>
        <w:trPr>
          <w:trHeight w:val="1158"/>
        </w:trPr>
        <w:tblPrEx/>
        <w:tc>
          <w:tcPr>
            <w:tcW w:w="3464" w:type="dxa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pStyle w:val="858"/>
              <w:ind w:left="283" w:firstLine="0"/>
            </w:pPr>
            <w:r>
              <w:rPr>
                <w:rFonts w:ascii="Times New Roman" w:hAnsi="Times New Roman" w:cs="Times New Roman"/>
                <w:b/>
              </w:rPr>
              <w:t xml:space="preserve">СОГЛАСОВАНО</w:t>
            </w:r>
            <w:r>
              <w:rPr>
                <w:rFonts w:ascii="Times New Roman" w:hAnsi="Times New Roman" w:cs="Times New Roman"/>
              </w:rPr>
              <w:t xml:space="preserve">:                                           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58"/>
              <w:ind w:right="-909" w:firstLine="0"/>
            </w:pPr>
            <w:r>
              <w:rPr>
                <w:rFonts w:ascii="Times New Roman" w:hAnsi="Times New Roman" w:cs="Times New Roman"/>
              </w:rPr>
              <w:t xml:space="preserve">______________(Подрядчик )</w:t>
            </w:r>
            <w:r>
              <w:rPr>
                <w:rFonts w:ascii="Times New Roman" w:hAnsi="Times New Roman" w:cs="Times New Roman"/>
              </w:rPr>
              <w:t xml:space="preserve">       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58"/>
              <w:tabs>
                <w:tab w:val="left" w:pos="0" w:leader="none"/>
              </w:tabs>
              <w:ind w:firstLine="0"/>
            </w:pPr>
            <w:r>
              <w:rPr>
                <w:rFonts w:ascii="Times New Roman" w:hAnsi="Times New Roman" w:cs="Times New Roman"/>
              </w:rPr>
              <w:t xml:space="preserve">_______________(ФИО)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58"/>
              <w:ind w:firstLine="0"/>
              <w:jc w:val="center"/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58"/>
              <w:ind w:left="142" w:hanging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Заказчик</w:t>
            </w:r>
            <w:r>
              <w:rPr>
                <w:rFonts w:ascii="Times New Roman" w:hAnsi="Times New Roman" w:cs="Times New Roman"/>
              </w:rPr>
              <w:t xml:space="preserve">:______________________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993" w:type="dxa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pStyle w:val="858"/>
              <w:ind w:right="-3855"/>
              <w:jc w:val="center"/>
            </w:pPr>
            <w:r>
              <w:rPr>
                <w:rFonts w:ascii="Times New Roman" w:hAnsi="Times New Roman" w:cs="Times New Roman"/>
                <w:b/>
              </w:rPr>
              <w:t xml:space="preserve">                                                                           УТВЕРЖД</w:t>
            </w:r>
            <w:r>
              <w:rPr>
                <w:rFonts w:ascii="Times New Roman" w:hAnsi="Times New Roman" w:cs="Times New Roman"/>
                <w:b/>
              </w:rPr>
              <w:t xml:space="preserve">АЮ</w:t>
            </w:r>
            <w:r>
              <w:rPr>
                <w:rFonts w:ascii="Times New Roman" w:hAnsi="Times New Roman" w:cs="Times New Roman"/>
                <w:b/>
              </w:rPr>
              <w:t xml:space="preserve">:</w:t>
            </w:r>
            <w:r>
              <w:rPr>
                <w:rFonts w:ascii="Times New Roman" w:hAnsi="Times New Roman" w:cs="Times New Roman"/>
                <w:b/>
              </w:rPr>
            </w:r>
          </w:p>
          <w:p>
            <w:pPr>
              <w:pStyle w:val="858"/>
              <w:ind w:right="-909" w:firstLine="0"/>
            </w:pPr>
            <w:r>
              <w:rPr>
                <w:rFonts w:ascii="Times New Roman" w:hAnsi="Times New Roman" w:cs="Times New Roman"/>
                <w:b/>
              </w:rPr>
              <w:t xml:space="preserve">                                                              </w:t>
            </w:r>
            <w:r>
              <w:rPr>
                <w:rFonts w:ascii="Times New Roman" w:hAnsi="Times New Roman" w:cs="Times New Roman"/>
                <w:b/>
                <w:sz w:val="22"/>
              </w:rPr>
              <w:t xml:space="preserve">                                                                                                </w:t>
            </w:r>
            <w:r>
              <w:rPr>
                <w:rFonts w:ascii="Times New Roman" w:hAnsi="Times New Roman" w:cs="Times New Roman"/>
                <w:sz w:val="22"/>
              </w:rPr>
              <w:t xml:space="preserve">_____________(Заказчик )       </w:t>
            </w:r>
            <w:r>
              <w:rPr>
                <w:rFonts w:ascii="Times New Roman" w:hAnsi="Times New Roman" w:cs="Times New Roman"/>
                <w:sz w:val="22"/>
              </w:rPr>
            </w:r>
          </w:p>
          <w:p>
            <w:pPr>
              <w:pStyle w:val="858"/>
              <w:ind w:left="2551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                                                                                        ______________(</w:t>
            </w:r>
            <w:r>
              <w:rPr>
                <w:rFonts w:ascii="Times New Roman" w:hAnsi="Times New Roman" w:cs="Times New Roman"/>
              </w:rPr>
              <w:t xml:space="preserve">ФИО)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</w:r>
          </w:p>
        </w:tc>
      </w:tr>
      <w:tr>
        <w:trPr/>
        <w:tblPrEx/>
        <w:tc>
          <w:tcPr>
            <w:tcW w:w="3464" w:type="dxa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pStyle w:val="85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t xml:space="preserve">(наименование организации)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0993" w:type="dxa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pStyle w:val="858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rPr/>
        <w:tblPrEx/>
        <w:tc>
          <w:tcPr>
            <w:tcW w:w="14457" w:type="dxa"/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pStyle w:val="858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t xml:space="preserve">Утвержден</w:t>
            </w:r>
            <w:r>
              <w:rPr>
                <w:rFonts w:ascii="Times New Roman" w:hAnsi="Times New Roman" w:cs="Times New Roman"/>
              </w:rPr>
              <w:t xml:space="preserve">:</w:t>
            </w:r>
            <w:r>
              <w:rPr>
                <w:rFonts w:ascii="Times New Roman" w:hAnsi="Times New Roman" w:cs="Times New Roman"/>
              </w:rPr>
              <w:t xml:space="preserve"> __ ______________20</w:t>
            </w:r>
            <w:r>
              <w:rPr>
                <w:rFonts w:ascii="Times New Roman" w:hAnsi="Times New Roman" w:cs="Times New Roman"/>
              </w:rPr>
              <w:t xml:space="preserve">2</w:t>
            </w:r>
            <w:r>
              <w:rPr>
                <w:rFonts w:ascii="Times New Roman" w:hAnsi="Times New Roman" w:cs="Times New Roman"/>
              </w:rPr>
              <w:t xml:space="preserve">__ г.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</w:tbl>
    <w:p>
      <w:pPr>
        <w:pStyle w:val="858"/>
        <w:jc w:val="center"/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tbl>
      <w:tblPr>
        <w:tblW w:w="0" w:type="auto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5215"/>
        <w:gridCol w:w="2664"/>
        <w:gridCol w:w="6578"/>
      </w:tblGrid>
      <w:tr>
        <w:trPr/>
        <w:tblPrEx/>
        <w:tc>
          <w:tcPr>
            <w:tcW w:w="5215" w:type="dxa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noWrap w:val="false"/>
            <w:textDirection w:val="lrTb"/>
          </w:tcPr>
          <w:p>
            <w:pPr>
              <w:pStyle w:val="858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Сводный сметный расчет сметной стоимостью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664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noWrap w:val="false"/>
            <w:textDirection w:val="lrTb"/>
          </w:tcPr>
          <w:p>
            <w:pPr>
              <w:pStyle w:val="85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6578" w:type="dxa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noWrap w:val="false"/>
            <w:textDirection w:val="lrTb"/>
          </w:tcPr>
          <w:p>
            <w:pPr>
              <w:pStyle w:val="858"/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руб.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rPr/>
        <w:tblPrEx/>
        <w:tc>
          <w:tcPr>
            <w:tcW w:w="14457" w:type="dxa"/>
            <w:gridSpan w:val="3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noWrap w:val="false"/>
            <w:textDirection w:val="lrTb"/>
          </w:tcPr>
          <w:p>
            <w:pPr>
              <w:pStyle w:val="85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rPr/>
        <w:tblPrEx/>
        <w:tc>
          <w:tcPr>
            <w:tcW w:w="14457" w:type="dxa"/>
            <w:gridSpan w:val="3"/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noWrap w:val="false"/>
            <w:textDirection w:val="lrTb"/>
          </w:tcPr>
          <w:p>
            <w:pPr>
              <w:pStyle w:val="85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(ссылка на документ об утверждении)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rPr/>
        <w:tblPrEx/>
        <w:tc>
          <w:tcPr>
            <w:tcW w:w="14457" w:type="dxa"/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noWrap w:val="false"/>
            <w:textDirection w:val="lrTb"/>
          </w:tcPr>
          <w:p>
            <w:pPr>
              <w:pStyle w:val="858"/>
              <w:jc w:val="center"/>
            </w:pPr>
            <w:r>
              <w:rPr>
                <w:rFonts w:ascii="Times New Roman" w:hAnsi="Times New Roman" w:cs="Times New Roman"/>
              </w:rPr>
              <w:t xml:space="preserve">СВОДНЫЙ СМЕТНЫЙ РАСЧЕТ 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5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 ССР</w:t>
            </w:r>
            <w:r>
              <w:rPr>
                <w:rFonts w:ascii="Times New Roman" w:hAnsi="Times New Roman" w:cs="Times New Roman"/>
              </w:rPr>
              <w:t xml:space="preserve">СС</w:t>
            </w:r>
            <w:r>
              <w:rPr>
                <w:rFonts w:ascii="Times New Roman" w:hAnsi="Times New Roman" w:cs="Times New Roman"/>
              </w:rPr>
              <w:t xml:space="preserve">-________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rPr>
          <w:trHeight w:val="22"/>
        </w:trPr>
        <w:tblPrEx/>
        <w:tc>
          <w:tcPr>
            <w:tcW w:w="14457" w:type="dxa"/>
            <w:gridSpan w:val="3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noWrap w:val="false"/>
            <w:textDirection w:val="lrTb"/>
          </w:tcPr>
          <w:p>
            <w:pPr>
              <w:pStyle w:val="85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rPr/>
        <w:tblPrEx/>
        <w:tc>
          <w:tcPr>
            <w:tcW w:w="14457" w:type="dxa"/>
            <w:gridSpan w:val="3"/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noWrap w:val="false"/>
            <w:textDirection w:val="lrTb"/>
          </w:tcPr>
          <w:p>
            <w:pPr>
              <w:pStyle w:val="85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(наименование стройки)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rPr/>
        <w:tblPrEx/>
        <w:tc>
          <w:tcPr>
            <w:tcW w:w="14457" w:type="dxa"/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noWrap w:val="false"/>
            <w:textDirection w:val="lrTb"/>
          </w:tcPr>
          <w:p>
            <w:pPr>
              <w:pStyle w:val="85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Составлен в </w:t>
            </w:r>
            <w:r>
              <w:rPr>
                <w:rFonts w:ascii="Times New Roman" w:hAnsi="Times New Roman" w:cs="Times New Roman"/>
              </w:rPr>
              <w:t xml:space="preserve">текущих ценах, соответствующих периоду выполнения работ по Договору</w:t>
            </w:r>
            <w:r>
              <w:rPr>
                <w:rFonts w:ascii="Times New Roman" w:hAnsi="Times New Roman" w:cs="Times New Roman"/>
              </w:rPr>
              <w:t xml:space="preserve">_________________ 20__ г.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</w:tbl>
    <w:p>
      <w:pPr>
        <w:pStyle w:val="858"/>
        <w:jc w:val="center"/>
      </w:pPr>
    </w:p>
    <w:tbl>
      <w:tblPr>
        <w:tblW w:w="14462" w:type="dxa"/>
        <w:tblInd w:w="-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634"/>
        <w:gridCol w:w="993"/>
        <w:gridCol w:w="283"/>
        <w:gridCol w:w="1270"/>
        <w:gridCol w:w="364"/>
        <w:gridCol w:w="1343"/>
        <w:gridCol w:w="425"/>
        <w:gridCol w:w="1134"/>
        <w:gridCol w:w="1559"/>
        <w:gridCol w:w="1418"/>
        <w:gridCol w:w="5039"/>
      </w:tblGrid>
      <w:tr>
        <w:trPr>
          <w:trHeight w:val="212"/>
        </w:trPr>
        <w:tblPrEx/>
        <w:tc>
          <w:tcPr>
            <w:tcW w:w="634" w:type="dxa"/>
            <w:vMerge w:val="restart"/>
            <w:noWrap w:val="false"/>
            <w:textDirection w:val="lrTb"/>
          </w:tcPr>
          <w:p>
            <w:pPr>
              <w:pStyle w:val="85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Nп/п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993" w:type="dxa"/>
            <w:vMerge w:val="restart"/>
            <w:noWrap w:val="false"/>
            <w:textDirection w:val="lrTb"/>
          </w:tcPr>
          <w:p>
            <w:pPr>
              <w:pStyle w:val="858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Обоснование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553" w:type="dxa"/>
            <w:gridSpan w:val="2"/>
            <w:vMerge w:val="restart"/>
            <w:noWrap w:val="false"/>
            <w:textDirection w:val="lrTb"/>
          </w:tcPr>
          <w:p>
            <w:pPr>
              <w:pStyle w:val="858"/>
              <w:ind w:hanging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Наименование глав, объектов капитального строительства, работ и затрат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1282" w:type="dxa"/>
            <w:gridSpan w:val="7"/>
            <w:noWrap w:val="false"/>
            <w:textDirection w:val="lrTb"/>
          </w:tcPr>
          <w:p>
            <w:pPr>
              <w:pStyle w:val="85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Сметная стоимость, руб.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rPr>
          <w:trHeight w:val="1019"/>
        </w:trPr>
        <w:tblPrEx/>
        <w:tc>
          <w:tcPr>
            <w:tcW w:w="634" w:type="dxa"/>
            <w:vMerge w:val="continue"/>
            <w:tcBorders>
              <w:bottom w:val="single" w:color="000000" w:sz="4" w:space="0"/>
            </w:tcBorders>
            <w:noWrap w:val="false"/>
            <w:textDirection w:val="lrTb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993" w:type="dxa"/>
            <w:vMerge w:val="continue"/>
            <w:tcBorders>
              <w:bottom w:val="single" w:color="000000" w:sz="4" w:space="0"/>
            </w:tcBorders>
            <w:noWrap w:val="false"/>
            <w:textDirection w:val="lrTb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553" w:type="dxa"/>
            <w:gridSpan w:val="2"/>
            <w:vMerge w:val="continue"/>
            <w:tcBorders>
              <w:bottom w:val="single" w:color="000000" w:sz="4" w:space="0"/>
            </w:tcBorders>
            <w:noWrap w:val="false"/>
            <w:textDirection w:val="lrTb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707" w:type="dxa"/>
            <w:gridSpan w:val="2"/>
            <w:tcBorders>
              <w:bottom w:val="single" w:color="000000" w:sz="4" w:space="0"/>
            </w:tcBorders>
            <w:noWrap w:val="false"/>
            <w:textDirection w:val="lrTb"/>
          </w:tcPr>
          <w:p>
            <w:pPr>
              <w:pStyle w:val="858"/>
              <w:ind w:hanging="6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строительных (ремонтно-строительных, ремонтно-реставрационных) работ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559" w:type="dxa"/>
            <w:gridSpan w:val="2"/>
            <w:tcBorders>
              <w:bottom w:val="single" w:color="000000" w:sz="4" w:space="0"/>
            </w:tcBorders>
            <w:noWrap w:val="false"/>
            <w:textDirection w:val="lrTb"/>
          </w:tcPr>
          <w:p>
            <w:pPr>
              <w:pStyle w:val="858"/>
              <w:ind w:left="191" w:hanging="6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монтажных работ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559" w:type="dxa"/>
            <w:tcBorders>
              <w:bottom w:val="single" w:color="000000" w:sz="4" w:space="0"/>
            </w:tcBorders>
            <w:noWrap w:val="false"/>
            <w:textDirection w:val="lrTb"/>
          </w:tcPr>
          <w:p>
            <w:pPr>
              <w:pStyle w:val="858"/>
              <w:ind w:hanging="8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оборудования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18" w:type="dxa"/>
            <w:tcBorders>
              <w:bottom w:val="single" w:color="000000" w:sz="4" w:space="0"/>
            </w:tcBorders>
            <w:noWrap w:val="false"/>
            <w:textDirection w:val="lrTb"/>
          </w:tcPr>
          <w:p>
            <w:pPr>
              <w:pStyle w:val="858"/>
              <w:ind w:left="-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прочих затрат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039" w:type="dxa"/>
            <w:tcBorders>
              <w:bottom w:val="single" w:color="000000" w:sz="4" w:space="0"/>
            </w:tcBorders>
            <w:noWrap w:val="false"/>
            <w:textDirection w:val="lrTb"/>
          </w:tcPr>
          <w:p>
            <w:pPr>
              <w:pStyle w:val="85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всего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rPr>
          <w:trHeight w:val="273"/>
        </w:trPr>
        <w:tblPrEx/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85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11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858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  <w:p>
            <w:pPr>
              <w:pStyle w:val="85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155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858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  <w:p>
            <w:pPr>
              <w:pStyle w:val="85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170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858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  <w:p>
            <w:pPr>
              <w:pStyle w:val="85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4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1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858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  <w:p>
            <w:pPr>
              <w:pStyle w:val="85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5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858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  <w:p>
            <w:pPr>
              <w:pStyle w:val="85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6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858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  <w:p>
            <w:pPr>
              <w:pStyle w:val="85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7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5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858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  <w:p>
            <w:pPr>
              <w:pStyle w:val="85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8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</w:tr>
      <w:tr>
        <w:trPr/>
        <w:tblPrEx/>
        <w:tc>
          <w:tcPr>
            <w:tcW w:w="634" w:type="dxa"/>
            <w:tcBorders>
              <w:top w:val="single" w:color="000000" w:sz="4" w:space="0"/>
            </w:tcBorders>
            <w:noWrap w:val="false"/>
            <w:textDirection w:val="lrTb"/>
          </w:tcPr>
          <w:p>
            <w:pPr>
              <w:pStyle w:val="85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993" w:type="dxa"/>
            <w:tcBorders>
              <w:top w:val="single" w:color="000000" w:sz="4" w:space="0"/>
            </w:tcBorders>
            <w:noWrap w:val="false"/>
            <w:textDirection w:val="lrTb"/>
          </w:tcPr>
          <w:p>
            <w:pPr>
              <w:pStyle w:val="85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553" w:type="dxa"/>
            <w:gridSpan w:val="2"/>
            <w:tcBorders>
              <w:top w:val="single" w:color="000000" w:sz="4" w:space="0"/>
            </w:tcBorders>
            <w:noWrap w:val="false"/>
            <w:textDirection w:val="lrTb"/>
          </w:tcPr>
          <w:p>
            <w:pPr>
              <w:pStyle w:val="85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707" w:type="dxa"/>
            <w:gridSpan w:val="2"/>
            <w:tcBorders>
              <w:top w:val="single" w:color="000000" w:sz="4" w:space="0"/>
            </w:tcBorders>
            <w:noWrap w:val="false"/>
            <w:textDirection w:val="lrTb"/>
          </w:tcPr>
          <w:p>
            <w:pPr>
              <w:pStyle w:val="85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559" w:type="dxa"/>
            <w:gridSpan w:val="2"/>
            <w:tcBorders>
              <w:top w:val="single" w:color="000000" w:sz="4" w:space="0"/>
            </w:tcBorders>
            <w:noWrap w:val="false"/>
            <w:textDirection w:val="lrTb"/>
          </w:tcPr>
          <w:p>
            <w:pPr>
              <w:pStyle w:val="85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559" w:type="dxa"/>
            <w:tcBorders>
              <w:top w:val="single" w:color="000000" w:sz="4" w:space="0"/>
            </w:tcBorders>
            <w:noWrap w:val="false"/>
            <w:textDirection w:val="lrTb"/>
          </w:tcPr>
          <w:p>
            <w:pPr>
              <w:pStyle w:val="85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18" w:type="dxa"/>
            <w:tcBorders>
              <w:top w:val="single" w:color="000000" w:sz="4" w:space="0"/>
            </w:tcBorders>
            <w:noWrap w:val="false"/>
            <w:textDirection w:val="lrTb"/>
          </w:tcPr>
          <w:p>
            <w:pPr>
              <w:pStyle w:val="85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039" w:type="dxa"/>
            <w:tcBorders>
              <w:top w:val="single" w:color="000000" w:sz="4" w:space="0"/>
            </w:tcBorders>
            <w:noWrap w:val="false"/>
            <w:textDirection w:val="lrTb"/>
          </w:tcPr>
          <w:p>
            <w:pPr>
              <w:pStyle w:val="85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rPr/>
        <w:tblPrEx/>
        <w:tc>
          <w:tcPr>
            <w:tcW w:w="634" w:type="dxa"/>
            <w:tcBorders>
              <w:bottom w:val="single" w:color="000000" w:sz="4" w:space="0"/>
            </w:tcBorders>
            <w:noWrap w:val="false"/>
            <w:textDirection w:val="lrTb"/>
          </w:tcPr>
          <w:p>
            <w:pPr>
              <w:pStyle w:val="85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993" w:type="dxa"/>
            <w:tcBorders>
              <w:bottom w:val="single" w:color="000000" w:sz="4" w:space="0"/>
            </w:tcBorders>
            <w:noWrap w:val="false"/>
            <w:textDirection w:val="lrTb"/>
          </w:tcPr>
          <w:p>
            <w:pPr>
              <w:pStyle w:val="85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553" w:type="dxa"/>
            <w:gridSpan w:val="2"/>
            <w:tcBorders>
              <w:bottom w:val="single" w:color="000000" w:sz="4" w:space="0"/>
            </w:tcBorders>
            <w:noWrap w:val="false"/>
            <w:textDirection w:val="lrTb"/>
          </w:tcPr>
          <w:p>
            <w:pPr>
              <w:pStyle w:val="85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707" w:type="dxa"/>
            <w:gridSpan w:val="2"/>
            <w:tcBorders>
              <w:bottom w:val="single" w:color="000000" w:sz="4" w:space="0"/>
            </w:tcBorders>
            <w:noWrap w:val="false"/>
            <w:textDirection w:val="lrTb"/>
          </w:tcPr>
          <w:p>
            <w:pPr>
              <w:pStyle w:val="85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559" w:type="dxa"/>
            <w:gridSpan w:val="2"/>
            <w:tcBorders>
              <w:bottom w:val="single" w:color="000000" w:sz="4" w:space="0"/>
            </w:tcBorders>
            <w:noWrap w:val="false"/>
            <w:textDirection w:val="lrTb"/>
          </w:tcPr>
          <w:p>
            <w:pPr>
              <w:pStyle w:val="85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559" w:type="dxa"/>
            <w:tcBorders>
              <w:bottom w:val="single" w:color="000000" w:sz="4" w:space="0"/>
            </w:tcBorders>
            <w:noWrap w:val="false"/>
            <w:textDirection w:val="lrTb"/>
          </w:tcPr>
          <w:p>
            <w:pPr>
              <w:pStyle w:val="85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18" w:type="dxa"/>
            <w:tcBorders>
              <w:bottom w:val="single" w:color="000000" w:sz="4" w:space="0"/>
            </w:tcBorders>
            <w:noWrap w:val="false"/>
            <w:textDirection w:val="lrTb"/>
          </w:tcPr>
          <w:p>
            <w:pPr>
              <w:pStyle w:val="85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039" w:type="dxa"/>
            <w:tcBorders>
              <w:bottom w:val="single" w:color="000000" w:sz="4" w:space="0"/>
            </w:tcBorders>
            <w:noWrap w:val="false"/>
            <w:textDirection w:val="lrTb"/>
          </w:tcPr>
          <w:p>
            <w:pPr>
              <w:pStyle w:val="85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rPr>
          <w:trHeight w:val="327"/>
        </w:trPr>
        <w:tblPrEx/>
        <w:tc>
          <w:tcPr>
            <w:tcW w:w="354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858"/>
              <w:tabs>
                <w:tab w:val="left" w:pos="567" w:leader="none"/>
                <w:tab w:val="left" w:pos="2091" w:leader="none"/>
              </w:tabs>
              <w:ind w:left="170" w:hanging="425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Руководитель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  <w:p>
            <w:pPr>
              <w:pStyle w:val="858"/>
              <w:tabs>
                <w:tab w:val="left" w:pos="851" w:leader="none"/>
              </w:tabs>
              <w:ind w:left="170" w:hanging="14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проектной организации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918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85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rPr/>
        <w:tblPrEx/>
        <w:tc>
          <w:tcPr>
            <w:tcW w:w="354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85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918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85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[подпись (инициалы, фамилия)]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rPr/>
        <w:tblPrEx/>
        <w:tc>
          <w:tcPr>
            <w:tcW w:w="354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858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Главный инженер проекта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918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85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rPr/>
        <w:tblPrEx/>
        <w:tc>
          <w:tcPr>
            <w:tcW w:w="191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858"/>
              <w:ind w:left="-907" w:firstLine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Начальник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6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85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7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858"/>
              <w:ind w:hanging="6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отдела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915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85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rPr/>
        <w:tblPrEx/>
        <w:tc>
          <w:tcPr>
            <w:tcW w:w="191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85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6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858"/>
              <w:ind w:hanging="19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(наименование)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7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85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915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85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[подпись (инициалы, фамилия)]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rPr/>
        <w:tblPrEx/>
        <w:tc>
          <w:tcPr>
            <w:tcW w:w="191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858"/>
              <w:ind w:left="284" w:firstLine="28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Заказчик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2552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85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[подпись (инициалы, фамилия)]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</w:tbl>
    <w:p>
      <w:pPr>
        <w:spacing w:after="0" w:line="240" w:lineRule="auto"/>
        <w:ind w:left="357"/>
      </w:pP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  <w:p>
      <w:pPr>
        <w:spacing w:after="0" w:line="240" w:lineRule="auto"/>
        <w:ind w:left="357"/>
      </w:pP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  <w:p>
      <w:pPr>
        <w:spacing w:after="0" w:line="240" w:lineRule="auto"/>
        <w:ind w:left="357"/>
      </w:pP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  <w:p>
      <w:pPr>
        <w:spacing w:after="0" w:line="240" w:lineRule="auto"/>
        <w:ind w:left="357"/>
        <w:rPr>
          <w:rFonts w:ascii="Times New Roman" w:hAnsi="Times New Roman"/>
          <w:bCs/>
        </w:rPr>
      </w:pPr>
      <w:r>
        <w:rPr>
          <w:rFonts w:ascii="Times New Roman" w:hAnsi="Times New Roman"/>
          <w:b/>
        </w:rPr>
      </w:r>
      <w:r>
        <w:rPr>
          <w:rFonts w:ascii="Times New Roman" w:hAnsi="Times New Roman"/>
          <w:bCs/>
        </w:rPr>
      </w:r>
      <w:r>
        <w:rPr>
          <w:rFonts w:ascii="Times New Roman" w:hAnsi="Times New Roman"/>
          <w:bCs/>
        </w:rPr>
      </w:r>
    </w:p>
    <w:p>
      <w:pPr>
        <w:pStyle w:val="858"/>
        <w:ind w:left="928" w:right="666" w:firstLine="0"/>
        <w:jc w:val="right"/>
        <w:rPr>
          <w:rFonts w:ascii="Times New Roman" w:hAnsi="Times New Roman"/>
          <w:sz w:val="18"/>
          <w:szCs w:val="18"/>
          <w:highlight w:val="none"/>
        </w:rPr>
      </w:pP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/>
          <w:sz w:val="18"/>
          <w:szCs w:val="18"/>
          <w:highlight w:val="none"/>
        </w:rPr>
      </w:r>
      <w:r>
        <w:rPr>
          <w:rFonts w:ascii="Times New Roman" w:hAnsi="Times New Roman"/>
          <w:sz w:val="18"/>
          <w:szCs w:val="18"/>
          <w:highlight w:val="none"/>
        </w:rPr>
      </w:r>
    </w:p>
    <w:p>
      <w:pPr>
        <w:shd w:val="nil" w:color="auto"/>
        <w:rPr>
          <w:highlight w:val="none"/>
        </w:rPr>
        <w:sectPr>
          <w:footnotePr/>
          <w:endnotePr/>
          <w:type w:val="nextPage"/>
          <w:pgSz w:w="16838" w:h="11906" w:orient="landscape"/>
          <w:pgMar w:top="1417" w:right="850" w:bottom="850" w:left="1134" w:header="709" w:footer="709" w:gutter="0"/>
          <w:cols w:num="1" w:sep="0" w:space="708" w:equalWidth="1"/>
          <w:docGrid w:linePitch="360"/>
        </w:sect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shd w:val="nil" w:color="000000"/>
        <w:rPr>
          <w:rFonts w:ascii="Times New Roman" w:hAnsi="Times New Roman" w:cs="Times New Roman"/>
          <w:sz w:val="20"/>
          <w:szCs w:val="20"/>
        </w:rPr>
      </w:pPr>
      <w:r>
        <w:rPr>
          <w:highlight w:val="none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shd w:val="nil" w:color="000000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ind w:left="426" w:hanging="426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b/>
          <w:sz w:val="20"/>
          <w:szCs w:val="20"/>
        </w:rPr>
        <w:t xml:space="preserve">ОБРАЗЕЦ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5811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 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Приложение №1.2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5811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к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Требованиям к оформлению и составлению документации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по ценообразованию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8"/>
        <w:ind w:left="5811"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Приложение №___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8"/>
        <w:ind w:left="5811"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к дополнительному соглашению </w:t>
      </w:r>
      <w:r>
        <w:rPr>
          <w:rFonts w:ascii="Times New Roman" w:hAnsi="Times New Roman" w:eastAsia="Times New Roman" w:cs="Times New Roman"/>
        </w:rPr>
        <w:t xml:space="preserve">от</w:t>
      </w:r>
      <w:r>
        <w:rPr>
          <w:rFonts w:ascii="Times New Roman" w:hAnsi="Times New Roman" w:eastAsia="Times New Roman" w:cs="Times New Roman"/>
        </w:rPr>
        <w:t xml:space="preserve"> __ № __</w:t>
      </w:r>
      <w:r>
        <w:rPr>
          <w:rFonts w:ascii="Times New Roman" w:hAnsi="Times New Roman" w:eastAsia="Times New Roman" w:cs="Times New Roman"/>
        </w:rPr>
        <w:t xml:space="preserve"> к договору </w:t>
      </w:r>
      <w:r>
        <w:rPr>
          <w:rFonts w:ascii="Times New Roman" w:hAnsi="Times New Roman" w:eastAsia="Times New Roman" w:cs="Times New Roman"/>
        </w:rPr>
        <w:t xml:space="preserve">от</w:t>
      </w:r>
      <w:r>
        <w:rPr>
          <w:rFonts w:ascii="Times New Roman" w:hAnsi="Times New Roman" w:eastAsia="Times New Roman" w:cs="Times New Roman"/>
        </w:rPr>
        <w:t xml:space="preserve">_______№_____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8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widowControl w:val="off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b/>
          <w:sz w:val="20"/>
          <w:szCs w:val="20"/>
        </w:rPr>
        <w:t xml:space="preserve">Сопоставительная ведомость изменения сметной стоимости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widowControl w:val="off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b/>
          <w:sz w:val="20"/>
          <w:szCs w:val="20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tbl>
      <w:tblPr>
        <w:tblW w:w="9180" w:type="dxa"/>
        <w:tblInd w:w="48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382"/>
        <w:gridCol w:w="765"/>
        <w:gridCol w:w="765"/>
        <w:gridCol w:w="1148"/>
        <w:gridCol w:w="1147"/>
        <w:gridCol w:w="1530"/>
        <w:gridCol w:w="1530"/>
        <w:gridCol w:w="1913"/>
      </w:tblGrid>
      <w:tr>
        <w:trPr>
          <w:trHeight w:val="385"/>
        </w:trPr>
        <w:tblPrEx/>
        <w:tc>
          <w:tcPr>
            <w:tcW w:w="382" w:type="dxa"/>
            <w:vMerge w:val="restart"/>
            <w:noWrap w:val="false"/>
            <w:textDirection w:val="lrTb"/>
          </w:tcPr>
          <w:p>
            <w:pPr>
              <w:widowControl w:val="o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№ 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/п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678" w:type="dxa"/>
            <w:gridSpan w:val="3"/>
            <w:noWrap w:val="false"/>
            <w:textDirection w:val="lrTb"/>
          </w:tcPr>
          <w:p>
            <w:pPr>
              <w:widowControl w:val="o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Данные сметного расчета (сметы)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677" w:type="dxa"/>
            <w:gridSpan w:val="2"/>
            <w:noWrap w:val="false"/>
            <w:textDirection w:val="lrTb"/>
          </w:tcPr>
          <w:p>
            <w:pPr>
              <w:widowControl w:val="o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Сметная стоимость, тыс. руб.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530" w:type="dxa"/>
            <w:vMerge w:val="restart"/>
            <w:noWrap w:val="false"/>
            <w:textDirection w:val="lrTb"/>
          </w:tcPr>
          <w:p>
            <w:pPr>
              <w:widowControl w:val="o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Разница в сметной стоимости, руб.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913" w:type="dxa"/>
            <w:vMerge w:val="restart"/>
            <w:noWrap w:val="false"/>
            <w:textDirection w:val="lrTb"/>
          </w:tcPr>
          <w:p>
            <w:pPr>
              <w:widowControl w:val="o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Обоснование изменений сметной стоимости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rPr>
          <w:trHeight w:val="1051"/>
        </w:trPr>
        <w:tblPrEx/>
        <w:tc>
          <w:tcPr>
            <w:tcW w:w="382" w:type="dxa"/>
            <w:vMerge w:val="continue"/>
            <w:noWrap w:val="false"/>
            <w:textDirection w:val="lrTb"/>
          </w:tcPr>
          <w:p>
            <w:pPr>
              <w:spacing w:after="160" w:line="259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W w:w="765" w:type="dxa"/>
            <w:noWrap w:val="false"/>
            <w:textDirection w:val="lrTb"/>
          </w:tcPr>
          <w:p>
            <w:pPr>
              <w:widowControl w:val="o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шифр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765" w:type="dxa"/>
            <w:noWrap w:val="false"/>
            <w:textDirection w:val="lrTb"/>
          </w:tcPr>
          <w:p>
            <w:pPr>
              <w:widowControl w:val="o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наименование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148" w:type="dxa"/>
            <w:noWrap w:val="false"/>
            <w:textDirection w:val="lrTb"/>
          </w:tcPr>
          <w:p>
            <w:pPr>
              <w:widowControl w:val="o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№ позиции сметного расчета (сметы) в ССР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147" w:type="dxa"/>
            <w:noWrap w:val="false"/>
            <w:textDirection w:val="lrTb"/>
          </w:tcPr>
          <w:p>
            <w:pPr>
              <w:widowControl w:val="o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подлежащая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 включению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530" w:type="dxa"/>
            <w:noWrap w:val="false"/>
            <w:textDirection w:val="lrTb"/>
          </w:tcPr>
          <w:p>
            <w:pPr>
              <w:widowControl w:val="o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подлежащая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 исключению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530" w:type="dxa"/>
            <w:vMerge w:val="continue"/>
            <w:noWrap w:val="false"/>
            <w:textDirection w:val="lrTb"/>
          </w:tcPr>
          <w:p>
            <w:pPr>
              <w:spacing w:after="160" w:line="259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W w:w="1913" w:type="dxa"/>
            <w:vMerge w:val="continue"/>
            <w:noWrap w:val="false"/>
            <w:textDirection w:val="lrTb"/>
          </w:tcPr>
          <w:p>
            <w:pPr>
              <w:spacing w:after="160" w:line="259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</w:tr>
      <w:tr>
        <w:trPr>
          <w:trHeight w:val="370"/>
        </w:trPr>
        <w:tblPrEx/>
        <w:tc>
          <w:tcPr>
            <w:tcW w:w="382" w:type="dxa"/>
            <w:noWrap w:val="false"/>
            <w:textDirection w:val="lrTb"/>
          </w:tcPr>
          <w:p>
            <w:pPr>
              <w:widowControl w:val="o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1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765" w:type="dxa"/>
            <w:noWrap w:val="false"/>
            <w:textDirection w:val="lrTb"/>
          </w:tcPr>
          <w:p>
            <w:pPr>
              <w:widowControl w:val="o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2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765" w:type="dxa"/>
            <w:noWrap w:val="false"/>
            <w:textDirection w:val="lrTb"/>
          </w:tcPr>
          <w:p>
            <w:pPr>
              <w:widowControl w:val="o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3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148" w:type="dxa"/>
            <w:noWrap w:val="false"/>
            <w:textDirection w:val="lrTb"/>
          </w:tcPr>
          <w:p>
            <w:pPr>
              <w:widowControl w:val="o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4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147" w:type="dxa"/>
            <w:noWrap w:val="false"/>
            <w:textDirection w:val="lrTb"/>
          </w:tcPr>
          <w:p>
            <w:pPr>
              <w:widowControl w:val="o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5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530" w:type="dxa"/>
            <w:noWrap w:val="false"/>
            <w:textDirection w:val="lrTb"/>
          </w:tcPr>
          <w:p>
            <w:pPr>
              <w:widowControl w:val="o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6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530" w:type="dxa"/>
            <w:noWrap w:val="false"/>
            <w:textDirection w:val="lrTb"/>
          </w:tcPr>
          <w:p>
            <w:pPr>
              <w:widowControl w:val="o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7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913" w:type="dxa"/>
            <w:noWrap w:val="false"/>
            <w:textDirection w:val="lrTb"/>
          </w:tcPr>
          <w:p>
            <w:pPr>
              <w:widowControl w:val="o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8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rPr>
          <w:trHeight w:val="370"/>
        </w:trPr>
        <w:tblPrEx/>
        <w:tc>
          <w:tcPr>
            <w:tcW w:w="382" w:type="dxa"/>
            <w:noWrap w:val="false"/>
            <w:textDirection w:val="lrTb"/>
          </w:tcPr>
          <w:p>
            <w:pPr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765" w:type="dxa"/>
            <w:noWrap w:val="false"/>
            <w:textDirection w:val="lrTb"/>
          </w:tcPr>
          <w:p>
            <w:pPr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765" w:type="dxa"/>
            <w:noWrap w:val="false"/>
            <w:textDirection w:val="lrTb"/>
          </w:tcPr>
          <w:p>
            <w:pPr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148" w:type="dxa"/>
            <w:noWrap w:val="false"/>
            <w:textDirection w:val="lrTb"/>
          </w:tcPr>
          <w:p>
            <w:pPr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147" w:type="dxa"/>
            <w:noWrap w:val="false"/>
            <w:textDirection w:val="lrTb"/>
          </w:tcPr>
          <w:p>
            <w:pPr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530" w:type="dxa"/>
            <w:noWrap w:val="false"/>
            <w:textDirection w:val="lrTb"/>
          </w:tcPr>
          <w:p>
            <w:pPr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530" w:type="dxa"/>
            <w:noWrap w:val="false"/>
            <w:textDirection w:val="lrTb"/>
          </w:tcPr>
          <w:p>
            <w:pPr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913" w:type="dxa"/>
            <w:noWrap w:val="false"/>
            <w:textDirection w:val="lrTb"/>
          </w:tcPr>
          <w:p>
            <w:pPr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</w:tbl>
    <w:p>
      <w:pPr>
        <w:widowControl w:val="off"/>
        <w:jc w:val="both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cs="Times New Roman"/>
          <w:b/>
          <w:bCs/>
          <w:color w:val="000000"/>
        </w:rPr>
      </w:r>
      <w:r>
        <w:rPr>
          <w:rFonts w:ascii="Times New Roman" w:hAnsi="Times New Roman" w:cs="Times New Roman"/>
          <w:b/>
          <w:bCs/>
          <w:color w:val="000000"/>
        </w:rPr>
      </w:r>
    </w:p>
    <w:p>
      <w:pPr>
        <w:shd w:val="nil" w:color="000000"/>
        <w:rPr>
          <w:highlight w:val="none"/>
        </w:rPr>
      </w:pPr>
      <w:r>
        <w:rPr>
          <w:highlight w:val="none"/>
        </w:rPr>
        <w:br w:type="page" w:clear="all"/>
      </w:r>
      <w:r>
        <w:rPr>
          <w:highlight w:val="none"/>
        </w:rPr>
      </w:r>
      <w:r>
        <w:rPr>
          <w:highlight w:val="none"/>
        </w:rPr>
      </w:r>
    </w:p>
    <w:p>
      <w:pPr>
        <w:ind w:left="357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0"/>
          <w:szCs w:val="20"/>
        </w:rPr>
      </w:r>
      <w:r>
        <w:t xml:space="preserve"> </w:t>
      </w:r>
      <w:r>
        <w:tab/>
      </w:r>
      <w:r>
        <w:br/>
      </w:r>
      <w:r>
        <w:rPr>
          <w:rFonts w:ascii="Times New Roman" w:hAnsi="Times New Roman" w:eastAsia="Times New Roman" w:cs="Times New Roman"/>
          <w:sz w:val="20"/>
          <w:szCs w:val="20"/>
        </w:rPr>
        <w:tab/>
      </w:r>
      <w:r>
        <w:rPr>
          <w:rFonts w:ascii="Times New Roman" w:hAnsi="Times New Roman" w:eastAsia="Times New Roman" w:cs="Times New Roman"/>
          <w:sz w:val="20"/>
          <w:szCs w:val="20"/>
        </w:rPr>
        <w:br/>
      </w:r>
      <w:bookmarkStart w:id="0" w:name="_GoBack"/>
      <w:r>
        <w:rPr>
          <w:rFonts w:ascii="Times New Roman" w:hAnsi="Times New Roman" w:eastAsia="Times New Roman" w:cs="Times New Roman"/>
        </w:rPr>
      </w:r>
      <w:bookmarkEnd w:id="0"/>
      <w:r>
        <w:rPr>
          <w:rFonts w:ascii="Times New Roman" w:hAnsi="Times New Roman" w:eastAsia="Times New Roman" w:cs="Times New Roman"/>
          <w:sz w:val="20"/>
          <w:szCs w:val="20"/>
        </w:rPr>
        <w:t xml:space="preserve">Приложение №1.3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8"/>
        <w:ind w:left="5811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к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Требованиям к оформлению и составлению документации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по ценообразованию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8"/>
        <w:ind w:left="5811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Приложение №___</w:t>
      </w:r>
      <w:r>
        <w:rPr>
          <w:rFonts w:ascii="Times New Roman" w:hAnsi="Times New Roman" w:eastAsia="Times New Roman" w:cs="Times New Roman"/>
        </w:rPr>
        <w:t xml:space="preserve">к дополнительному соглашению </w:t>
      </w:r>
      <w:r>
        <w:rPr>
          <w:rFonts w:ascii="Times New Roman" w:hAnsi="Times New Roman" w:eastAsia="Times New Roman" w:cs="Times New Roman"/>
        </w:rPr>
        <w:t xml:space="preserve">от</w:t>
      </w:r>
      <w:r>
        <w:rPr>
          <w:rFonts w:ascii="Times New Roman" w:hAnsi="Times New Roman" w:eastAsia="Times New Roman" w:cs="Times New Roman"/>
        </w:rPr>
        <w:t xml:space="preserve"> ___ № ___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8"/>
        <w:ind w:left="5811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к договору </w:t>
      </w:r>
      <w:r>
        <w:rPr>
          <w:rFonts w:ascii="Times New Roman" w:hAnsi="Times New Roman" w:eastAsia="Times New Roman" w:cs="Times New Roman"/>
        </w:rPr>
        <w:t xml:space="preserve">от</w:t>
      </w:r>
      <w:r>
        <w:rPr>
          <w:rFonts w:ascii="Times New Roman" w:hAnsi="Times New Roman" w:eastAsia="Times New Roman" w:cs="Times New Roman"/>
        </w:rPr>
        <w:t xml:space="preserve">_______№_____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8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b/>
        </w:rPr>
        <w:t xml:space="preserve">Сопоставительная ведомость объемов работ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8"/>
        <w:jc w:val="both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eastAsia="Times New Roman" w:cs="Times New Roman"/>
          <w:b/>
        </w:rPr>
      </w:r>
      <w:r>
        <w:rPr>
          <w:rFonts w:ascii="Times New Roman" w:hAnsi="Times New Roman" w:cs="Times New Roman"/>
          <w:bCs/>
          <w:sz w:val="20"/>
          <w:szCs w:val="20"/>
        </w:rPr>
      </w:r>
      <w:r>
        <w:rPr>
          <w:rFonts w:ascii="Times New Roman" w:hAnsi="Times New Roman" w:cs="Times New Roman"/>
          <w:bCs/>
          <w:sz w:val="20"/>
          <w:szCs w:val="20"/>
        </w:rPr>
      </w:r>
    </w:p>
    <w:tbl>
      <w:tblPr>
        <w:tblW w:w="10031" w:type="dxa"/>
        <w:tblInd w:w="20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396"/>
        <w:gridCol w:w="660"/>
        <w:gridCol w:w="792"/>
        <w:gridCol w:w="1125"/>
        <w:gridCol w:w="1075"/>
        <w:gridCol w:w="571"/>
        <w:gridCol w:w="792"/>
        <w:gridCol w:w="791"/>
        <w:gridCol w:w="792"/>
        <w:gridCol w:w="660"/>
        <w:gridCol w:w="528"/>
        <w:gridCol w:w="791"/>
        <w:gridCol w:w="1056"/>
      </w:tblGrid>
      <w:tr>
        <w:trPr>
          <w:trHeight w:val="883"/>
        </w:trPr>
        <w:tblPrEx/>
        <w:tc>
          <w:tcPr>
            <w:tcW w:w="396" w:type="dxa"/>
            <w:vMerge w:val="restart"/>
            <w:noWrap w:val="false"/>
            <w:textDirection w:val="lrTb"/>
          </w:tcPr>
          <w:p>
            <w:pPr>
              <w:pStyle w:val="858"/>
              <w:ind w:left="-62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№№ 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пп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3652" w:type="dxa"/>
            <w:gridSpan w:val="4"/>
            <w:noWrap w:val="false"/>
            <w:textDirection w:val="lrTb"/>
          </w:tcPr>
          <w:p>
            <w:pPr>
              <w:pStyle w:val="858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Данные сметного расчета (сметы)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71" w:type="dxa"/>
            <w:noWrap w:val="false"/>
            <w:textDirection w:val="lrTb"/>
          </w:tcPr>
          <w:p>
            <w:pPr>
              <w:pStyle w:val="858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Наименование работ и затрат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792" w:type="dxa"/>
            <w:noWrap w:val="false"/>
            <w:textDirection w:val="lrTb"/>
          </w:tcPr>
          <w:p>
            <w:pPr>
              <w:pStyle w:val="858"/>
              <w:ind w:hanging="6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Ед. изм.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584" w:type="dxa"/>
            <w:gridSpan w:val="2"/>
            <w:vMerge w:val="restart"/>
            <w:noWrap w:val="false"/>
            <w:textDirection w:val="lrTb"/>
          </w:tcPr>
          <w:p>
            <w:pPr>
              <w:pStyle w:val="858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Объем работ в сметной документации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188" w:type="dxa"/>
            <w:gridSpan w:val="2"/>
            <w:vMerge w:val="restart"/>
            <w:noWrap w:val="false"/>
            <w:textDirection w:val="lrTb"/>
          </w:tcPr>
          <w:p>
            <w:pPr>
              <w:pStyle w:val="858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Изменение объемов работ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791" w:type="dxa"/>
            <w:noWrap w:val="false"/>
            <w:textDirection w:val="lrTb"/>
          </w:tcPr>
          <w:p>
            <w:pPr>
              <w:pStyle w:val="858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Обоснование изменений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56" w:type="dxa"/>
            <w:noWrap w:val="false"/>
            <w:textDirection w:val="lrTb"/>
          </w:tcPr>
          <w:p>
            <w:pPr>
              <w:pStyle w:val="858"/>
              <w:ind w:left="1360" w:hanging="141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Примечание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rPr>
          <w:trHeight w:val="415"/>
        </w:trPr>
        <w:tblPrEx/>
        <w:tc>
          <w:tcPr>
            <w:tcW w:w="396" w:type="dxa"/>
            <w:vMerge w:val="continue"/>
            <w:noWrap w:val="false"/>
            <w:textDirection w:val="lrTb"/>
          </w:tcPr>
          <w:p>
            <w:pPr>
              <w:jc w:val="center"/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660" w:type="dxa"/>
            <w:vMerge w:val="restart"/>
            <w:noWrap w:val="false"/>
            <w:textDirection w:val="lrTb"/>
          </w:tcPr>
          <w:p>
            <w:pPr>
              <w:pStyle w:val="858"/>
              <w:ind w:left="-79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шифр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792" w:type="dxa"/>
            <w:vMerge w:val="restart"/>
            <w:noWrap w:val="false"/>
            <w:textDirection w:val="lrTb"/>
          </w:tcPr>
          <w:p>
            <w:pPr>
              <w:pStyle w:val="858"/>
              <w:ind w:left="-64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Наименование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200" w:type="dxa"/>
            <w:gridSpan w:val="2"/>
            <w:noWrap w:val="false"/>
            <w:textDirection w:val="lrTb"/>
          </w:tcPr>
          <w:p>
            <w:pPr>
              <w:pStyle w:val="858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№ позиции в сметном расчете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71" w:type="dxa"/>
            <w:vMerge w:val="restart"/>
            <w:noWrap w:val="false"/>
            <w:textDirection w:val="lrTb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792" w:type="dxa"/>
            <w:vMerge w:val="restart"/>
            <w:noWrap w:val="false"/>
            <w:textDirection w:val="lrTb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584" w:type="dxa"/>
            <w:gridSpan w:val="2"/>
            <w:vMerge w:val="continue"/>
            <w:noWrap w:val="false"/>
            <w:textDirection w:val="lrTb"/>
          </w:tcPr>
          <w:p>
            <w:pPr>
              <w:jc w:val="center"/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188" w:type="dxa"/>
            <w:gridSpan w:val="2"/>
            <w:vMerge w:val="continue"/>
            <w:noWrap w:val="false"/>
            <w:textDirection w:val="lrTb"/>
          </w:tcPr>
          <w:p>
            <w:pPr>
              <w:jc w:val="center"/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791" w:type="dxa"/>
            <w:vMerge w:val="restart"/>
            <w:noWrap w:val="false"/>
            <w:textDirection w:val="lrTb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56" w:type="dxa"/>
            <w:vMerge w:val="restart"/>
            <w:noWrap w:val="false"/>
            <w:textDirection w:val="lrTb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rPr>
          <w:trHeight w:val="1312"/>
        </w:trPr>
        <w:tblPrEx/>
        <w:tc>
          <w:tcPr>
            <w:tcW w:w="396" w:type="dxa"/>
            <w:vMerge w:val="continue"/>
            <w:noWrap w:val="false"/>
            <w:textDirection w:val="lrTb"/>
          </w:tcPr>
          <w:p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660" w:type="dxa"/>
            <w:vMerge w:val="continue"/>
            <w:noWrap w:val="false"/>
            <w:textDirection w:val="lrTb"/>
          </w:tcPr>
          <w:p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792" w:type="dxa"/>
            <w:vMerge w:val="continue"/>
            <w:noWrap w:val="false"/>
            <w:textDirection w:val="lrTb"/>
          </w:tcPr>
          <w:p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125" w:type="dxa"/>
            <w:noWrap w:val="false"/>
            <w:textDirection w:val="lrTb"/>
          </w:tcPr>
          <w:p>
            <w:pPr>
              <w:pStyle w:val="858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до изменений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75" w:type="dxa"/>
            <w:noWrap w:val="false"/>
            <w:textDirection w:val="lrTb"/>
          </w:tcPr>
          <w:p>
            <w:pPr>
              <w:pStyle w:val="858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с учетом изменений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71" w:type="dxa"/>
            <w:vMerge w:val="continue"/>
            <w:noWrap w:val="false"/>
            <w:textDirection w:val="lrTb"/>
          </w:tcPr>
          <w:p>
            <w:pPr>
              <w:jc w:val="center"/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792" w:type="dxa"/>
            <w:vMerge w:val="continue"/>
            <w:noWrap w:val="false"/>
            <w:textDirection w:val="lrTb"/>
          </w:tcPr>
          <w:p>
            <w:pPr>
              <w:jc w:val="center"/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791" w:type="dxa"/>
            <w:noWrap w:val="false"/>
            <w:textDirection w:val="lrTb"/>
          </w:tcPr>
          <w:p>
            <w:pPr>
              <w:pStyle w:val="858"/>
              <w:ind w:firstLine="7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до изменений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792" w:type="dxa"/>
            <w:noWrap w:val="false"/>
            <w:textDirection w:val="lrTb"/>
          </w:tcPr>
          <w:p>
            <w:pPr>
              <w:pStyle w:val="858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с учетом изменений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660" w:type="dxa"/>
            <w:noWrap w:val="false"/>
            <w:textDirection w:val="lrTb"/>
          </w:tcPr>
          <w:p>
            <w:pPr>
              <w:pStyle w:val="858"/>
              <w:ind w:left="-8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увели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58"/>
              <w:ind w:left="-8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чение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28" w:type="dxa"/>
            <w:noWrap w:val="false"/>
            <w:textDirection w:val="lrTb"/>
          </w:tcPr>
          <w:p>
            <w:pPr>
              <w:pStyle w:val="858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снижение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791" w:type="dxa"/>
            <w:vMerge w:val="continue"/>
            <w:noWrap w:val="false"/>
            <w:textDirection w:val="lrTb"/>
          </w:tcPr>
          <w:p>
            <w:pPr>
              <w:jc w:val="center"/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056" w:type="dxa"/>
            <w:vMerge w:val="continue"/>
            <w:noWrap w:val="false"/>
            <w:textDirection w:val="lrTb"/>
          </w:tcPr>
          <w:p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rPr>
          <w:trHeight w:val="233"/>
        </w:trPr>
        <w:tblPrEx/>
        <w:tc>
          <w:tcPr>
            <w:tcW w:w="396" w:type="dxa"/>
            <w:noWrap w:val="false"/>
            <w:textDirection w:val="lrTb"/>
          </w:tcPr>
          <w:p>
            <w:pPr>
              <w:pStyle w:val="85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660" w:type="dxa"/>
            <w:noWrap w:val="false"/>
            <w:textDirection w:val="lrTb"/>
          </w:tcPr>
          <w:p>
            <w:pPr>
              <w:pStyle w:val="85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792" w:type="dxa"/>
            <w:noWrap w:val="false"/>
            <w:textDirection w:val="lrTb"/>
          </w:tcPr>
          <w:p>
            <w:pPr>
              <w:pStyle w:val="85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125" w:type="dxa"/>
            <w:noWrap w:val="false"/>
            <w:textDirection w:val="lrTb"/>
          </w:tcPr>
          <w:p>
            <w:pPr>
              <w:pStyle w:val="85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75" w:type="dxa"/>
            <w:noWrap w:val="false"/>
            <w:textDirection w:val="lrTb"/>
          </w:tcPr>
          <w:p>
            <w:pPr>
              <w:pStyle w:val="85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71" w:type="dxa"/>
            <w:noWrap w:val="false"/>
            <w:textDirection w:val="lrTb"/>
          </w:tcPr>
          <w:p>
            <w:pPr>
              <w:pStyle w:val="85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792" w:type="dxa"/>
            <w:noWrap w:val="false"/>
            <w:textDirection w:val="lrTb"/>
          </w:tcPr>
          <w:p>
            <w:pPr>
              <w:pStyle w:val="85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791" w:type="dxa"/>
            <w:noWrap w:val="false"/>
            <w:textDirection w:val="lrTb"/>
          </w:tcPr>
          <w:p>
            <w:pPr>
              <w:pStyle w:val="85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792" w:type="dxa"/>
            <w:noWrap w:val="false"/>
            <w:textDirection w:val="lrTb"/>
          </w:tcPr>
          <w:p>
            <w:pPr>
              <w:pStyle w:val="85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660" w:type="dxa"/>
            <w:noWrap w:val="false"/>
            <w:textDirection w:val="lrTb"/>
          </w:tcPr>
          <w:p>
            <w:pPr>
              <w:pStyle w:val="85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28" w:type="dxa"/>
            <w:noWrap w:val="false"/>
            <w:textDirection w:val="lrTb"/>
          </w:tcPr>
          <w:p>
            <w:pPr>
              <w:pStyle w:val="85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791" w:type="dxa"/>
            <w:noWrap w:val="false"/>
            <w:textDirection w:val="lrTb"/>
          </w:tcPr>
          <w:p>
            <w:pPr>
              <w:pStyle w:val="85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056" w:type="dxa"/>
            <w:noWrap w:val="false"/>
            <w:textDirection w:val="lrTb"/>
          </w:tcPr>
          <w:p>
            <w:pPr>
              <w:pStyle w:val="85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</w:tbl>
    <w:p>
      <w:pPr>
        <w:spacing w:after="0"/>
        <w:ind w:firstLine="708"/>
        <w:rPr>
          <w:rFonts w:ascii="Times New Roman" w:hAnsi="Times New Roman" w:cs="Times New Roman"/>
          <w:highlight w:val="none"/>
        </w:rPr>
      </w:pPr>
      <w:r>
        <w:rPr>
          <w:rFonts w:ascii="Times New Roman" w:hAnsi="Times New Roman" w:eastAsia="Times New Roman" w:cs="Times New Roman"/>
          <w:highlight w:val="none"/>
        </w:rPr>
      </w:r>
      <w:r>
        <w:rPr>
          <w:rFonts w:ascii="Times New Roman" w:hAnsi="Times New Roman" w:cs="Times New Roman"/>
          <w:highlight w:val="none"/>
        </w:rPr>
      </w:r>
      <w:r>
        <w:rPr>
          <w:rFonts w:ascii="Times New Roman" w:hAnsi="Times New Roman" w:cs="Times New Roman"/>
          <w:highlight w:val="none"/>
        </w:rPr>
      </w:r>
    </w:p>
    <w:p>
      <w:pPr>
        <w:spacing w:after="0"/>
        <w:ind w:firstLine="70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  <w:br/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spacing w:after="0"/>
        <w:ind w:firstLine="70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br/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br/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spacing w:after="0"/>
        <w:ind w:firstLine="70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br/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br/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spacing w:after="0"/>
        <w:ind w:firstLine="708"/>
        <w:rPr>
          <w:rFonts w:ascii="Times New Roman" w:hAnsi="Times New Roman" w:cs="Times New Roman"/>
          <w:sz w:val="20"/>
          <w:szCs w:val="20"/>
          <w:highlight w:val="none"/>
        </w:rPr>
      </w:pPr>
      <w:r>
        <w:rPr>
          <w:rFonts w:ascii="Times New Roman" w:hAnsi="Times New Roman" w:cs="Times New Roman"/>
          <w:sz w:val="20"/>
          <w:szCs w:val="20"/>
        </w:rPr>
        <w:br/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br/>
      </w:r>
      <w:r>
        <w:rPr>
          <w:rFonts w:ascii="Times New Roman" w:hAnsi="Times New Roman" w:cs="Times New Roman"/>
          <w:sz w:val="20"/>
          <w:szCs w:val="20"/>
          <w:highlight w:val="none"/>
        </w:rPr>
      </w:r>
      <w:r>
        <w:rPr>
          <w:rFonts w:ascii="Times New Roman" w:hAnsi="Times New Roman" w:cs="Times New Roman"/>
          <w:sz w:val="20"/>
          <w:szCs w:val="20"/>
          <w:highlight w:val="none"/>
        </w:rPr>
      </w:r>
    </w:p>
    <w:p>
      <w:pPr>
        <w:spacing w:after="0"/>
        <w:ind w:firstLine="70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spacing w:after="0"/>
        <w:ind w:firstLine="70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spacing w:after="0"/>
        <w:ind w:firstLine="70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spacing w:after="0"/>
        <w:ind w:firstLine="70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spacing w:after="0"/>
        <w:ind w:firstLine="70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spacing w:after="0"/>
        <w:ind w:firstLine="70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spacing w:after="0"/>
        <w:ind w:firstLine="70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spacing w:after="0"/>
        <w:ind w:firstLine="70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spacing w:after="0"/>
        <w:ind w:firstLine="70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spacing w:after="0"/>
        <w:ind w:firstLine="70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spacing w:after="0"/>
        <w:ind w:firstLine="70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spacing w:after="0"/>
        <w:ind w:firstLine="70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shd w:val="nil" w:color="auto"/>
        <w:rPr>
          <w:rFonts w:ascii="Times New Roman" w:hAnsi="Times New Roman" w:cs="Times New Roman"/>
          <w:sz w:val="20"/>
          <w:szCs w:val="20"/>
        </w:rPr>
        <w:sectPr>
          <w:footnotePr/>
          <w:endnotePr/>
          <w:type w:val="continuous"/>
          <w:pgSz w:w="11906" w:h="16838" w:orient="portrait"/>
          <w:pgMar w:top="850" w:right="850" w:bottom="1134" w:left="1417" w:header="709" w:footer="709" w:gutter="0"/>
          <w:cols w:num="1" w:sep="0" w:space="708" w:equalWidth="1"/>
          <w:docGrid w:linePitch="360"/>
        </w:sect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shd w:val="nil" w:color="00000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pStyle w:val="858"/>
        <w:jc w:val="both"/>
      </w:pPr>
    </w:p>
    <w:p>
      <w:pPr>
        <w:ind w:left="357"/>
        <w:jc w:val="right"/>
        <w:rPr>
          <w:color w:val="000000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  <w:t xml:space="preserve">Приложение№1.4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     </w:t>
      </w:r>
      <w:r>
        <w:rPr>
          <w:rFonts w:ascii="Times New Roman" w:hAnsi="Times New Roman" w:eastAsia="Times New Roman" w:cs="Times New Roman"/>
          <w:color w:val="000000"/>
          <w:sz w:val="20"/>
          <w:szCs w:val="20"/>
        </w:rPr>
        <w:t xml:space="preserve">                      </w:t>
      </w:r>
      <w:r>
        <w:rPr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  </w:t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pStyle w:val="858"/>
        <w:ind w:left="5811"/>
        <w:jc w:val="right"/>
        <w:rPr>
          <w:rFonts w:ascii="Times New Roman" w:hAnsi="Times New Roman" w:cs="Times New Roman"/>
          <w:sz w:val="22"/>
          <w:szCs w:val="22"/>
          <w:highlight w:val="none"/>
        </w:rPr>
      </w:pPr>
      <w:r>
        <w:rPr>
          <w:rFonts w:ascii="Times New Roman" w:hAnsi="Times New Roman" w:cs="Times New Roman"/>
          <w:sz w:val="22"/>
          <w:szCs w:val="22"/>
        </w:rPr>
        <w:t xml:space="preserve">к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Требованиям к оформлению и составлению документации</w:t>
      </w:r>
      <w:r>
        <w:rPr>
          <w:rFonts w:ascii="Times New Roman" w:hAnsi="Times New Roman" w:cs="Times New Roman"/>
          <w:sz w:val="22"/>
          <w:szCs w:val="22"/>
        </w:rPr>
        <w:t xml:space="preserve"> по ценообразованию</w:t>
      </w:r>
      <w:r>
        <w:rPr>
          <w:rFonts w:ascii="Times New Roman" w:hAnsi="Times New Roman" w:cs="Times New Roman"/>
          <w:sz w:val="22"/>
          <w:szCs w:val="22"/>
          <w:highlight w:val="none"/>
        </w:rPr>
      </w:r>
      <w:r>
        <w:rPr>
          <w:rFonts w:ascii="Times New Roman" w:hAnsi="Times New Roman" w:cs="Times New Roman"/>
          <w:sz w:val="22"/>
          <w:szCs w:val="22"/>
          <w:highlight w:val="none"/>
        </w:rPr>
      </w:r>
    </w:p>
    <w:p>
      <w:pPr>
        <w:ind w:firstLine="10348"/>
        <w:jc w:val="both"/>
      </w:pPr>
    </w:p>
    <w:p>
      <w:pPr>
        <w:ind w:firstLine="0"/>
        <w:jc w:val="left"/>
      </w:pPr>
      <w:r>
        <w:rPr>
          <w:b/>
          <w:color w:val="000000"/>
          <w:sz w:val="20"/>
          <w:szCs w:val="20"/>
        </w:rPr>
      </w: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9432290" cy="4674635"/>
                <wp:effectExtent l="0" t="0" r="0" b="0"/>
                <wp:docPr id="2" nam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70058189" name="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2"/>
                        <a:stretch/>
                      </pic:blipFill>
                      <pic:spPr bwMode="auto">
                        <a:xfrm rot="0" flipH="0" flipV="0">
                          <a:off x="0" y="0"/>
                          <a:ext cx="9432289" cy="467463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" o:spid="_x0000_s1" type="#_x0000_t75" style="width:742.70pt;height:368.08pt;mso-wrap-distance-left:0.00pt;mso-wrap-distance-top:0.00pt;mso-wrap-distance-right:0.00pt;mso-wrap-distance-bottom:0.00pt;rotation:0;" stroked="false">
                <v:path textboxrect="0,0,0,0"/>
                <v:imagedata r:id="rId12" o:title=""/>
              </v:shape>
            </w:pict>
          </mc:Fallback>
        </mc:AlternateContent>
      </w:r>
      <w:r>
        <w:rPr>
          <w:sz w:val="20"/>
          <w:szCs w:val="20"/>
        </w:rPr>
      </w:r>
    </w:p>
    <w:p>
      <w:pPr>
        <w:ind w:left="357"/>
        <w:jc w:val="right"/>
        <w:rPr>
          <w:color w:val="000000"/>
          <w:sz w:val="20"/>
          <w:szCs w:val="20"/>
          <w:highlight w:val="none"/>
        </w:rPr>
      </w:pPr>
      <w:r>
        <w:rPr>
          <w:color w:val="000000"/>
          <w:sz w:val="20"/>
          <w:szCs w:val="20"/>
          <w:highlight w:val="none"/>
        </w:rPr>
      </w:r>
      <w:r>
        <w:rPr>
          <w:color w:val="000000"/>
          <w:sz w:val="20"/>
          <w:szCs w:val="20"/>
          <w:highlight w:val="none"/>
        </w:rPr>
      </w:r>
      <w:r>
        <w:rPr>
          <w:color w:val="000000"/>
          <w:sz w:val="20"/>
          <w:szCs w:val="20"/>
          <w:highlight w:val="none"/>
        </w:rPr>
      </w:r>
    </w:p>
    <w:p>
      <w:pPr>
        <w:ind w:left="357"/>
        <w:jc w:val="right"/>
        <w:rPr>
          <w:rFonts w:ascii="Times New Roman" w:hAnsi="Times New Roman" w:cs="Times New Roman"/>
          <w:color w:val="000000"/>
          <w:sz w:val="20"/>
          <w:szCs w:val="20"/>
          <w:highlight w:val="none"/>
        </w:rPr>
      </w:pPr>
      <w:r>
        <w:rPr>
          <w:rFonts w:ascii="Times New Roman" w:hAnsi="Times New Roman" w:eastAsia="Times New Roman" w:cs="Times New Roman"/>
          <w:sz w:val="20"/>
          <w:szCs w:val="20"/>
        </w:rPr>
        <w:t xml:space="preserve">Приложение№1.5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    </w:t>
      </w:r>
      <w:r>
        <w:rPr>
          <w:rFonts w:ascii="Times New Roman" w:hAnsi="Times New Roman" w:eastAsia="Times New Roman" w:cs="Times New Roman"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color w:val="000000"/>
          <w:sz w:val="20"/>
          <w:szCs w:val="20"/>
          <w:highlight w:val="none"/>
        </w:rPr>
      </w:r>
      <w:r>
        <w:rPr>
          <w:rFonts w:ascii="Times New Roman" w:hAnsi="Times New Roman" w:cs="Times New Roman"/>
          <w:color w:val="000000"/>
          <w:sz w:val="20"/>
          <w:szCs w:val="20"/>
          <w:highlight w:val="none"/>
        </w:rPr>
      </w:r>
    </w:p>
    <w:p>
      <w:pPr>
        <w:pStyle w:val="858"/>
        <w:ind w:left="5811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к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Требованиям к оформлению и составлению документации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по ценообразованию</w:t>
      </w:r>
      <w:r>
        <w:rPr>
          <w:rFonts w:ascii="Times New Roman" w:hAnsi="Times New Roman" w:cs="Times New Roman"/>
          <w:color w:val="000000"/>
          <w:sz w:val="20"/>
          <w:szCs w:val="20"/>
        </w:rPr>
      </w:r>
      <w:r>
        <w:rPr>
          <w:rFonts w:ascii="Times New Roman" w:hAnsi="Times New Roman" w:cs="Times New Roman"/>
          <w:color w:val="000000"/>
          <w:sz w:val="20"/>
          <w:szCs w:val="20"/>
        </w:rPr>
      </w:r>
    </w:p>
    <w:p>
      <w:pPr>
        <w:ind w:left="0"/>
        <w:jc w:val="lef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0"/>
        <w:jc w:val="lef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tbl>
      <w:tblPr>
        <w:tblStyle w:val="710"/>
        <w:tblW w:w="0" w:type="auto"/>
        <w:tblLook w:val="04A0" w:firstRow="1" w:lastRow="0" w:firstColumn="1" w:lastColumn="0" w:noHBand="0" w:noVBand="1"/>
      </w:tblPr>
      <w:tblGrid>
        <w:gridCol w:w="765"/>
        <w:gridCol w:w="2460"/>
        <w:gridCol w:w="1500"/>
        <w:gridCol w:w="1680"/>
        <w:gridCol w:w="1680"/>
        <w:gridCol w:w="2130"/>
        <w:gridCol w:w="1845"/>
        <w:gridCol w:w="1830"/>
        <w:gridCol w:w="1995"/>
        <w:gridCol w:w="1710"/>
        <w:gridCol w:w="1875"/>
        <w:gridCol w:w="1845"/>
        <w:gridCol w:w="1815"/>
        <w:gridCol w:w="2070"/>
        <w:gridCol w:w="2460"/>
        <w:gridCol w:w="2460"/>
        <w:gridCol w:w="2460"/>
        <w:gridCol w:w="4275"/>
        <w:gridCol w:w="945"/>
        <w:gridCol w:w="1365"/>
        <w:gridCol w:w="1365"/>
        <w:gridCol w:w="1365"/>
      </w:tblGrid>
      <w:tr>
        <w:trPr>
          <w:trHeight w:val="285"/>
        </w:trPr>
        <w:tblPrEx/>
        <w:tc>
          <w:tcPr>
            <w:tcW w:w="30120" w:type="dxa"/>
            <w:gridSpan w:val="16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28"/>
                <w:u w:val="none"/>
                <w:vertAlign w:val="baseline"/>
              </w:rPr>
              <w:t xml:space="preserve">Метод анализа ТКП </w:t>
            </w:r>
          </w:p>
        </w:tc>
        <w:tc>
          <w:tcPr>
            <w:tcW w:w="2460" w:type="dxa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r>
              <w:rPr>
                <w:rFonts w:ascii="Calibri" w:hAnsi="Calibri" w:eastAsia="Calibri" w:cs="Calibri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r>
          </w:p>
        </w:tc>
        <w:tc>
          <w:tcPr>
            <w:tcW w:w="4275" w:type="dxa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r>
              <w:rPr>
                <w:rFonts w:ascii="Calibri" w:hAnsi="Calibri" w:eastAsia="Calibri" w:cs="Calibri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r>
          </w:p>
        </w:tc>
        <w:tc>
          <w:tcPr>
            <w:tcW w:w="945" w:type="dxa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r>
              <w:rPr>
                <w:rFonts w:ascii="Calibri" w:hAnsi="Calibri" w:eastAsia="Calibri" w:cs="Calibri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r>
          </w:p>
        </w:tc>
        <w:tc>
          <w:tcPr>
            <w:tcW w:w="1365" w:type="dxa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r>
              <w:rPr>
                <w:rFonts w:ascii="Calibri" w:hAnsi="Calibri" w:eastAsia="Calibri" w:cs="Calibri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r>
          </w:p>
        </w:tc>
        <w:tc>
          <w:tcPr>
            <w:tcW w:w="1365" w:type="dxa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r>
              <w:rPr>
                <w:rFonts w:ascii="Calibri" w:hAnsi="Calibri" w:eastAsia="Calibri" w:cs="Calibri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r>
          </w:p>
        </w:tc>
        <w:tc>
          <w:tcPr>
            <w:tcW w:w="1365" w:type="dxa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r>
              <w:rPr>
                <w:rFonts w:ascii="Calibri" w:hAnsi="Calibri" w:eastAsia="Calibri" w:cs="Calibri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r>
          </w:p>
        </w:tc>
      </w:tr>
      <w:tr>
        <w:trPr>
          <w:trHeight w:val="285"/>
        </w:trPr>
        <w:tblPrEx/>
        <w:tc>
          <w:tcPr>
            <w:tcW w:w="765" w:type="dxa"/>
            <w:tcBorders>
              <w:top w:val="none" w:color="000000" w:sz="4" w:space="0"/>
              <w:left w:val="none" w:color="000000" w:sz="4" w:space="0"/>
              <w:bottom w:val="single" w:color="000000" w:sz="12" w:space="0"/>
              <w:right w:val="none" w:color="000000" w:sz="4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rPr>
                <w:sz w:val="16"/>
                <w:szCs w:val="16"/>
              </w:rPr>
            </w:pPr>
            <w:r>
              <w:rPr>
                <w:rFonts w:ascii="Calibri" w:hAnsi="Calibri" w:eastAsia="Calibri" w:cs="Calibri"/>
                <w:b w:val="0"/>
                <w:i w:val="0"/>
                <w:strike w:val="0"/>
                <w:color w:val="000000"/>
                <w:sz w:val="16"/>
                <w:szCs w:val="16"/>
                <w:u w:val="none"/>
                <w:vertAlign w:val="baseline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2460" w:type="dxa"/>
            <w:tcBorders>
              <w:top w:val="none" w:color="000000" w:sz="4" w:space="0"/>
              <w:left w:val="none" w:color="000000" w:sz="4" w:space="0"/>
              <w:bottom w:val="single" w:color="000000" w:sz="12" w:space="0"/>
              <w:right w:val="none" w:color="000000" w:sz="4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rPr>
                <w:sz w:val="16"/>
                <w:szCs w:val="16"/>
              </w:rPr>
            </w:pPr>
            <w:r>
              <w:rPr>
                <w:rFonts w:ascii="Calibri" w:hAnsi="Calibri" w:eastAsia="Calibri" w:cs="Calibri"/>
                <w:b w:val="0"/>
                <w:i w:val="0"/>
                <w:strike w:val="0"/>
                <w:color w:val="000000"/>
                <w:sz w:val="16"/>
                <w:szCs w:val="16"/>
                <w:u w:val="none"/>
                <w:vertAlign w:val="baseline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1500" w:type="dxa"/>
            <w:tcBorders>
              <w:top w:val="none" w:color="000000" w:sz="4" w:space="0"/>
              <w:left w:val="none" w:color="000000" w:sz="4" w:space="0"/>
              <w:bottom w:val="single" w:color="000000" w:sz="12" w:space="0"/>
              <w:right w:val="none" w:color="000000" w:sz="4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rPr>
                <w:sz w:val="16"/>
                <w:szCs w:val="16"/>
              </w:rPr>
            </w:pPr>
            <w:r>
              <w:rPr>
                <w:rFonts w:ascii="Calibri" w:hAnsi="Calibri" w:eastAsia="Calibri" w:cs="Calibri"/>
                <w:b w:val="0"/>
                <w:i w:val="0"/>
                <w:strike w:val="0"/>
                <w:color w:val="000000"/>
                <w:sz w:val="16"/>
                <w:szCs w:val="16"/>
                <w:u w:val="none"/>
                <w:vertAlign w:val="baseline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1680" w:type="dxa"/>
            <w:tcBorders>
              <w:top w:val="none" w:color="000000" w:sz="4" w:space="0"/>
              <w:left w:val="none" w:color="000000" w:sz="4" w:space="0"/>
              <w:bottom w:val="single" w:color="000000" w:sz="12" w:space="0"/>
              <w:right w:val="none" w:color="000000" w:sz="4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rPr>
                <w:sz w:val="16"/>
                <w:szCs w:val="16"/>
              </w:rPr>
            </w:pPr>
            <w:r>
              <w:rPr>
                <w:rFonts w:ascii="Calibri" w:hAnsi="Calibri" w:eastAsia="Calibri" w:cs="Calibri"/>
                <w:b w:val="0"/>
                <w:i w:val="0"/>
                <w:strike w:val="0"/>
                <w:color w:val="000000"/>
                <w:sz w:val="16"/>
                <w:szCs w:val="16"/>
                <w:u w:val="none"/>
                <w:vertAlign w:val="baseline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1680" w:type="dxa"/>
            <w:tcBorders>
              <w:top w:val="none" w:color="000000" w:sz="4" w:space="0"/>
              <w:left w:val="none" w:color="000000" w:sz="4" w:space="0"/>
              <w:bottom w:val="single" w:color="000000" w:sz="12" w:space="0"/>
              <w:right w:val="none" w:color="000000" w:sz="4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rPr>
                <w:sz w:val="16"/>
                <w:szCs w:val="16"/>
              </w:rPr>
            </w:pPr>
            <w:r>
              <w:rPr>
                <w:rFonts w:ascii="Calibri" w:hAnsi="Calibri" w:eastAsia="Calibri" w:cs="Calibri"/>
                <w:b w:val="0"/>
                <w:i w:val="0"/>
                <w:strike w:val="0"/>
                <w:color w:val="000000"/>
                <w:sz w:val="16"/>
                <w:szCs w:val="16"/>
                <w:u w:val="none"/>
                <w:vertAlign w:val="baseline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2130" w:type="dxa"/>
            <w:tcBorders>
              <w:top w:val="none" w:color="000000" w:sz="4" w:space="0"/>
              <w:left w:val="none" w:color="000000" w:sz="4" w:space="0"/>
              <w:bottom w:val="single" w:color="000000" w:sz="12" w:space="0"/>
              <w:right w:val="none" w:color="000000" w:sz="4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rPr>
                <w:sz w:val="16"/>
                <w:szCs w:val="16"/>
              </w:rPr>
            </w:pPr>
            <w:r>
              <w:rPr>
                <w:rFonts w:ascii="Calibri" w:hAnsi="Calibri" w:eastAsia="Calibri" w:cs="Calibri"/>
                <w:b w:val="0"/>
                <w:i w:val="0"/>
                <w:strike w:val="0"/>
                <w:color w:val="000000"/>
                <w:sz w:val="16"/>
                <w:szCs w:val="16"/>
                <w:u w:val="none"/>
                <w:vertAlign w:val="baseline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1845" w:type="dxa"/>
            <w:tcBorders>
              <w:top w:val="none" w:color="000000" w:sz="4" w:space="0"/>
              <w:left w:val="none" w:color="000000" w:sz="4" w:space="0"/>
              <w:bottom w:val="single" w:color="000000" w:sz="12" w:space="0"/>
              <w:right w:val="none" w:color="000000" w:sz="4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rPr>
                <w:sz w:val="16"/>
                <w:szCs w:val="16"/>
              </w:rPr>
            </w:pPr>
            <w:r>
              <w:rPr>
                <w:rFonts w:ascii="Calibri" w:hAnsi="Calibri" w:eastAsia="Calibri" w:cs="Calibri"/>
                <w:b w:val="0"/>
                <w:i w:val="0"/>
                <w:strike w:val="0"/>
                <w:color w:val="000000"/>
                <w:sz w:val="16"/>
                <w:szCs w:val="16"/>
                <w:u w:val="none"/>
                <w:vertAlign w:val="baseline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1830" w:type="dxa"/>
            <w:tcBorders>
              <w:top w:val="none" w:color="000000" w:sz="4" w:space="0"/>
              <w:left w:val="none" w:color="000000" w:sz="4" w:space="0"/>
              <w:bottom w:val="single" w:color="000000" w:sz="12" w:space="0"/>
              <w:right w:val="none" w:color="000000" w:sz="4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rPr>
                <w:sz w:val="16"/>
                <w:szCs w:val="16"/>
              </w:rPr>
            </w:pPr>
            <w:r>
              <w:rPr>
                <w:rFonts w:ascii="Calibri" w:hAnsi="Calibri" w:eastAsia="Calibri" w:cs="Calibri"/>
                <w:b w:val="0"/>
                <w:i w:val="0"/>
                <w:strike w:val="0"/>
                <w:color w:val="000000"/>
                <w:sz w:val="16"/>
                <w:szCs w:val="16"/>
                <w:u w:val="none"/>
                <w:vertAlign w:val="baseline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1995" w:type="dxa"/>
            <w:tcBorders>
              <w:top w:val="none" w:color="000000" w:sz="4" w:space="0"/>
              <w:left w:val="none" w:color="000000" w:sz="4" w:space="0"/>
              <w:bottom w:val="single" w:color="000000" w:sz="12" w:space="0"/>
              <w:right w:val="none" w:color="000000" w:sz="4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rPr>
                <w:sz w:val="16"/>
                <w:szCs w:val="16"/>
              </w:rPr>
            </w:pPr>
            <w:r>
              <w:rPr>
                <w:rFonts w:ascii="Calibri" w:hAnsi="Calibri" w:eastAsia="Calibri" w:cs="Calibri"/>
                <w:b w:val="0"/>
                <w:i w:val="0"/>
                <w:strike w:val="0"/>
                <w:color w:val="000000"/>
                <w:sz w:val="16"/>
                <w:szCs w:val="16"/>
                <w:u w:val="none"/>
                <w:vertAlign w:val="baseline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1710" w:type="dxa"/>
            <w:tcBorders>
              <w:top w:val="none" w:color="000000" w:sz="4" w:space="0"/>
              <w:left w:val="none" w:color="000000" w:sz="4" w:space="0"/>
              <w:bottom w:val="single" w:color="000000" w:sz="12" w:space="0"/>
              <w:right w:val="none" w:color="000000" w:sz="4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rPr>
                <w:sz w:val="16"/>
                <w:szCs w:val="16"/>
              </w:rPr>
            </w:pPr>
            <w:r>
              <w:rPr>
                <w:rFonts w:ascii="Calibri" w:hAnsi="Calibri" w:eastAsia="Calibri" w:cs="Calibri"/>
                <w:b w:val="0"/>
                <w:i w:val="0"/>
                <w:strike w:val="0"/>
                <w:color w:val="000000"/>
                <w:sz w:val="16"/>
                <w:szCs w:val="16"/>
                <w:u w:val="none"/>
                <w:vertAlign w:val="baseline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1875" w:type="dxa"/>
            <w:tcBorders>
              <w:top w:val="none" w:color="000000" w:sz="4" w:space="0"/>
              <w:left w:val="none" w:color="000000" w:sz="4" w:space="0"/>
              <w:bottom w:val="single" w:color="000000" w:sz="12" w:space="0"/>
              <w:right w:val="none" w:color="000000" w:sz="4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rPr>
                <w:sz w:val="16"/>
                <w:szCs w:val="16"/>
              </w:rPr>
            </w:pPr>
            <w:r>
              <w:rPr>
                <w:rFonts w:ascii="Calibri" w:hAnsi="Calibri" w:eastAsia="Calibri" w:cs="Calibri"/>
                <w:b w:val="0"/>
                <w:i w:val="0"/>
                <w:strike w:val="0"/>
                <w:color w:val="000000"/>
                <w:sz w:val="16"/>
                <w:szCs w:val="16"/>
                <w:u w:val="none"/>
                <w:vertAlign w:val="baseline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1845" w:type="dxa"/>
            <w:tcBorders>
              <w:top w:val="none" w:color="000000" w:sz="4" w:space="0"/>
              <w:left w:val="none" w:color="000000" w:sz="4" w:space="0"/>
              <w:bottom w:val="single" w:color="000000" w:sz="12" w:space="0"/>
              <w:right w:val="none" w:color="000000" w:sz="4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rPr>
                <w:sz w:val="16"/>
                <w:szCs w:val="16"/>
              </w:rPr>
            </w:pPr>
            <w:r>
              <w:rPr>
                <w:rFonts w:ascii="Calibri" w:hAnsi="Calibri" w:eastAsia="Calibri" w:cs="Calibri"/>
                <w:b w:val="0"/>
                <w:i w:val="0"/>
                <w:strike w:val="0"/>
                <w:color w:val="000000"/>
                <w:sz w:val="16"/>
                <w:szCs w:val="16"/>
                <w:u w:val="none"/>
                <w:vertAlign w:val="baseline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1815" w:type="dxa"/>
            <w:tcBorders>
              <w:top w:val="none" w:color="000000" w:sz="4" w:space="0"/>
              <w:left w:val="none" w:color="000000" w:sz="4" w:space="0"/>
              <w:bottom w:val="single" w:color="000000" w:sz="12" w:space="0"/>
              <w:right w:val="none" w:color="000000" w:sz="4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rPr>
                <w:sz w:val="16"/>
                <w:szCs w:val="16"/>
              </w:rPr>
            </w:pPr>
            <w:r>
              <w:rPr>
                <w:rFonts w:ascii="Calibri" w:hAnsi="Calibri" w:eastAsia="Calibri" w:cs="Calibri"/>
                <w:b w:val="0"/>
                <w:i w:val="0"/>
                <w:strike w:val="0"/>
                <w:color w:val="000000"/>
                <w:sz w:val="16"/>
                <w:szCs w:val="16"/>
                <w:u w:val="none"/>
                <w:vertAlign w:val="baseline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2070" w:type="dxa"/>
            <w:tcBorders>
              <w:top w:val="none" w:color="000000" w:sz="4" w:space="0"/>
              <w:left w:val="none" w:color="000000" w:sz="4" w:space="0"/>
              <w:bottom w:val="single" w:color="000000" w:sz="12" w:space="0"/>
              <w:right w:val="none" w:color="000000" w:sz="4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rPr>
                <w:sz w:val="16"/>
                <w:szCs w:val="16"/>
              </w:rPr>
            </w:pPr>
            <w:r>
              <w:rPr>
                <w:rFonts w:ascii="Calibri" w:hAnsi="Calibri" w:eastAsia="Calibri" w:cs="Calibri"/>
                <w:b w:val="0"/>
                <w:i w:val="0"/>
                <w:strike w:val="0"/>
                <w:color w:val="000000"/>
                <w:sz w:val="16"/>
                <w:szCs w:val="16"/>
                <w:u w:val="none"/>
                <w:vertAlign w:val="baseline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2460" w:type="dxa"/>
            <w:tcBorders>
              <w:top w:val="none" w:color="000000" w:sz="4" w:space="0"/>
              <w:left w:val="none" w:color="000000" w:sz="4" w:space="0"/>
              <w:bottom w:val="single" w:color="000000" w:sz="12" w:space="0"/>
              <w:right w:val="none" w:color="000000" w:sz="4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rPr>
                <w:sz w:val="16"/>
                <w:szCs w:val="16"/>
              </w:rPr>
            </w:pPr>
            <w:r>
              <w:rPr>
                <w:rFonts w:ascii="Calibri" w:hAnsi="Calibri" w:eastAsia="Calibri" w:cs="Calibri"/>
                <w:b w:val="0"/>
                <w:i w:val="0"/>
                <w:strike w:val="0"/>
                <w:color w:val="000000"/>
                <w:sz w:val="16"/>
                <w:szCs w:val="16"/>
                <w:u w:val="none"/>
                <w:vertAlign w:val="baseline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2460" w:type="dxa"/>
            <w:tcBorders>
              <w:top w:val="none" w:color="000000" w:sz="4" w:space="0"/>
              <w:left w:val="none" w:color="000000" w:sz="4" w:space="0"/>
              <w:bottom w:val="single" w:color="000000" w:sz="12" w:space="0"/>
              <w:right w:val="none" w:color="000000" w:sz="4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rPr>
                <w:sz w:val="16"/>
                <w:szCs w:val="16"/>
              </w:rPr>
            </w:pPr>
            <w:r>
              <w:rPr>
                <w:rFonts w:ascii="Calibri" w:hAnsi="Calibri" w:eastAsia="Calibri" w:cs="Calibri"/>
                <w:b w:val="0"/>
                <w:i w:val="0"/>
                <w:strike w:val="0"/>
                <w:color w:val="000000"/>
                <w:sz w:val="16"/>
                <w:szCs w:val="16"/>
                <w:u w:val="none"/>
                <w:vertAlign w:val="baseline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2460" w:type="dxa"/>
            <w:tcBorders>
              <w:top w:val="none" w:color="000000" w:sz="4" w:space="0"/>
              <w:left w:val="none" w:color="000000" w:sz="4" w:space="0"/>
              <w:bottom w:val="single" w:color="000000" w:sz="12" w:space="0"/>
              <w:right w:val="none" w:color="000000" w:sz="4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rPr>
                <w:sz w:val="16"/>
                <w:szCs w:val="16"/>
              </w:rPr>
            </w:pPr>
            <w:r>
              <w:rPr>
                <w:rFonts w:ascii="Calibri" w:hAnsi="Calibri" w:eastAsia="Calibri" w:cs="Calibri"/>
                <w:b w:val="0"/>
                <w:i w:val="0"/>
                <w:strike w:val="0"/>
                <w:color w:val="000000"/>
                <w:sz w:val="16"/>
                <w:szCs w:val="16"/>
                <w:u w:val="none"/>
                <w:vertAlign w:val="baseline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4275" w:type="dxa"/>
            <w:tcBorders>
              <w:top w:val="none" w:color="000000" w:sz="4" w:space="0"/>
              <w:left w:val="none" w:color="000000" w:sz="4" w:space="0"/>
              <w:bottom w:val="single" w:color="000000" w:sz="12" w:space="0"/>
              <w:right w:val="none" w:color="000000" w:sz="4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rPr>
                <w:sz w:val="16"/>
                <w:szCs w:val="16"/>
              </w:rPr>
            </w:pPr>
            <w:r>
              <w:rPr>
                <w:rFonts w:ascii="Calibri" w:hAnsi="Calibri" w:eastAsia="Calibri" w:cs="Calibri"/>
                <w:b w:val="0"/>
                <w:i w:val="0"/>
                <w:strike w:val="0"/>
                <w:color w:val="000000"/>
                <w:sz w:val="16"/>
                <w:szCs w:val="16"/>
                <w:u w:val="none"/>
                <w:vertAlign w:val="baseline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945" w:type="dxa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rPr>
                <w:sz w:val="16"/>
                <w:szCs w:val="16"/>
              </w:rPr>
            </w:pPr>
            <w:r>
              <w:rPr>
                <w:rFonts w:ascii="Calibri" w:hAnsi="Calibri" w:eastAsia="Calibri" w:cs="Calibri"/>
                <w:b w:val="0"/>
                <w:i w:val="0"/>
                <w:strike w:val="0"/>
                <w:color w:val="000000"/>
                <w:sz w:val="16"/>
                <w:szCs w:val="16"/>
                <w:u w:val="none"/>
                <w:vertAlign w:val="baseline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1365" w:type="dxa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rPr>
                <w:sz w:val="16"/>
                <w:szCs w:val="16"/>
              </w:rPr>
            </w:pPr>
            <w:r>
              <w:rPr>
                <w:rFonts w:ascii="Calibri" w:hAnsi="Calibri" w:eastAsia="Calibri" w:cs="Calibri"/>
                <w:b w:val="0"/>
                <w:i w:val="0"/>
                <w:strike w:val="0"/>
                <w:color w:val="000000"/>
                <w:sz w:val="16"/>
                <w:szCs w:val="16"/>
                <w:u w:val="none"/>
                <w:vertAlign w:val="baseline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1365" w:type="dxa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rPr>
                <w:sz w:val="16"/>
                <w:szCs w:val="16"/>
              </w:rPr>
            </w:pPr>
            <w:r>
              <w:rPr>
                <w:rFonts w:ascii="Calibri" w:hAnsi="Calibri" w:eastAsia="Calibri" w:cs="Calibri"/>
                <w:b w:val="0"/>
                <w:i w:val="0"/>
                <w:strike w:val="0"/>
                <w:color w:val="000000"/>
                <w:sz w:val="16"/>
                <w:szCs w:val="16"/>
                <w:u w:val="none"/>
                <w:vertAlign w:val="baseline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1365" w:type="dxa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rPr>
                <w:sz w:val="16"/>
                <w:szCs w:val="16"/>
              </w:rPr>
            </w:pPr>
            <w:r>
              <w:rPr>
                <w:rFonts w:ascii="Calibri" w:hAnsi="Calibri" w:eastAsia="Calibri" w:cs="Calibri"/>
                <w:b w:val="0"/>
                <w:i w:val="0"/>
                <w:strike w:val="0"/>
                <w:color w:val="000000"/>
                <w:sz w:val="16"/>
                <w:szCs w:val="16"/>
                <w:u w:val="none"/>
                <w:vertAlign w:val="baseline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rPr>
          <w:trHeight w:val="660"/>
        </w:trPr>
        <w:tblPrEx/>
        <w:tc>
          <w:tcPr>
            <w:tcW w:w="765" w:type="dxa"/>
            <w:vMerge w:val="restart"/>
            <w:tcBorders>
              <w:top w:val="single" w:color="000000" w:sz="12" w:space="0"/>
              <w:left w:val="single" w:color="000000" w:sz="12" w:space="0"/>
              <w:bottom w:val="none" w:color="000000" w:sz="4" w:space="0"/>
              <w:right w:val="single" w:color="000000" w:sz="12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szCs w:val="16"/>
                <w:u w:val="none"/>
                <w:vertAlign w:val="baseline"/>
              </w:rPr>
              <w:t xml:space="preserve">№ п/п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2460" w:type="dxa"/>
            <w:vMerge w:val="restart"/>
            <w:tcBorders>
              <w:top w:val="single" w:color="000000" w:sz="12" w:space="0"/>
              <w:left w:val="single" w:color="000000" w:sz="12" w:space="0"/>
              <w:bottom w:val="none" w:color="000000" w:sz="4" w:space="0"/>
              <w:right w:val="single" w:color="000000" w:sz="12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szCs w:val="16"/>
                <w:u w:val="none"/>
                <w:vertAlign w:val="baseline"/>
              </w:rPr>
              <w:t xml:space="preserve">Наименование планируемой к закупке продукции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1500" w:type="dxa"/>
            <w:vMerge w:val="restart"/>
            <w:tcBorders>
              <w:top w:val="single" w:color="000000" w:sz="12" w:space="0"/>
              <w:left w:val="single" w:color="000000" w:sz="12" w:space="0"/>
              <w:bottom w:val="none" w:color="000000" w:sz="4" w:space="0"/>
              <w:right w:val="single" w:color="000000" w:sz="12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szCs w:val="16"/>
                <w:u w:val="none"/>
                <w:vertAlign w:val="baseline"/>
              </w:rPr>
              <w:t xml:space="preserve">Единица изменения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1680" w:type="dxa"/>
            <w:vMerge w:val="restart"/>
            <w:tcBorders>
              <w:top w:val="single" w:color="000000" w:sz="12" w:space="0"/>
              <w:left w:val="single" w:color="000000" w:sz="12" w:space="0"/>
              <w:bottom w:val="none" w:color="000000" w:sz="4" w:space="0"/>
              <w:right w:val="single" w:color="000000" w:sz="12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szCs w:val="16"/>
                <w:u w:val="none"/>
                <w:vertAlign w:val="baseline"/>
              </w:rPr>
              <w:t xml:space="preserve">Требуемое количество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1680" w:type="dxa"/>
            <w:vMerge w:val="restart"/>
            <w:tcBorders>
              <w:top w:val="single" w:color="000000" w:sz="12" w:space="0"/>
              <w:left w:val="single" w:color="000000" w:sz="12" w:space="0"/>
              <w:bottom w:val="none" w:color="000000" w:sz="4" w:space="0"/>
              <w:right w:val="single" w:color="000000" w:sz="12" w:space="0"/>
            </w:tcBorders>
            <w:shd w:val="clear" w:color="c5dfb2" w:fill="c5dfb2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szCs w:val="16"/>
                <w:u w:val="none"/>
                <w:vertAlign w:val="baseline"/>
              </w:rPr>
              <w:t xml:space="preserve">Цена за ед. в смете, руб. без НДС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5805" w:type="dxa"/>
            <w:gridSpan w:val="3"/>
            <w:vMerge w:val="restart"/>
            <w:tcBorders>
              <w:top w:val="single" w:color="000000" w:sz="12" w:space="0"/>
              <w:left w:val="single" w:color="000000" w:sz="12" w:space="0"/>
              <w:bottom w:val="none" w:color="000000" w:sz="4" w:space="0"/>
              <w:right w:val="none" w:color="000000" w:sz="4" w:space="0"/>
            </w:tcBorders>
            <w:shd w:val="clear" w:color="f2f2f2" w:fill="f2f2f2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szCs w:val="16"/>
                <w:u w:val="none"/>
                <w:vertAlign w:val="baseline"/>
              </w:rPr>
              <w:t xml:space="preserve">Источник информации-1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5580" w:type="dxa"/>
            <w:gridSpan w:val="3"/>
            <w:vMerge w:val="restart"/>
            <w:tcBorders>
              <w:top w:val="single" w:color="000000" w:sz="12" w:space="0"/>
              <w:left w:val="single" w:color="000000" w:sz="12" w:space="0"/>
              <w:bottom w:val="none" w:color="000000" w:sz="4" w:space="0"/>
              <w:right w:val="none" w:color="000000" w:sz="4" w:space="0"/>
            </w:tcBorders>
            <w:shd w:val="clear" w:color="f2f2f2" w:fill="f2f2f2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szCs w:val="16"/>
                <w:u w:val="none"/>
                <w:vertAlign w:val="baseline"/>
              </w:rPr>
              <w:t xml:space="preserve">Источник информации-2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5730" w:type="dxa"/>
            <w:gridSpan w:val="3"/>
            <w:vMerge w:val="restart"/>
            <w:tcBorders>
              <w:top w:val="single" w:color="000000" w:sz="12" w:space="0"/>
              <w:left w:val="single" w:color="000000" w:sz="12" w:space="0"/>
              <w:bottom w:val="none" w:color="000000" w:sz="4" w:space="0"/>
              <w:right w:val="none" w:color="000000" w:sz="4" w:space="0"/>
            </w:tcBorders>
            <w:shd w:val="clear" w:color="f2f2f2" w:fill="f2f2f2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szCs w:val="16"/>
                <w:u w:val="none"/>
                <w:vertAlign w:val="baseline"/>
              </w:rPr>
              <w:t xml:space="preserve">Источник информации-3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2460" w:type="dxa"/>
            <w:vMerge w:val="restart"/>
            <w:tcBorders>
              <w:top w:val="single" w:color="000000" w:sz="12" w:space="0"/>
              <w:left w:val="single" w:color="000000" w:sz="12" w:space="0"/>
              <w:bottom w:val="none" w:color="000000" w:sz="4" w:space="0"/>
              <w:right w:val="single" w:color="000000" w:sz="12" w:space="0"/>
            </w:tcBorders>
            <w:shd w:val="clear" w:color="9cc4e5" w:fill="9cc4e5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szCs w:val="16"/>
                <w:u w:val="none"/>
                <w:vertAlign w:val="baseline"/>
              </w:rPr>
              <w:t xml:space="preserve">Средне арифметическая </w:t>
            </w:r>
            <w:r>
              <w:rPr>
                <w:rFonts w:ascii="Arial" w:hAnsi="Arial" w:eastAsia="Arial" w:cs="Arial"/>
                <w:b/>
                <w:i w:val="0"/>
                <w:strike w:val="0"/>
                <w:color w:val="00b050"/>
                <w:sz w:val="16"/>
                <w:szCs w:val="16"/>
                <w:u w:val="none"/>
                <w:vertAlign w:val="baseline"/>
              </w:rPr>
              <w:t xml:space="preserve">(за единицу)</w:t>
            </w: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szCs w:val="16"/>
                <w:u w:val="none"/>
                <w:vertAlign w:val="baseline"/>
              </w:rPr>
              <w:t xml:space="preserve">, руб. без НДС</w:t>
              <w:br/>
            </w: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szCs w:val="16"/>
                <w:u w:val="none"/>
                <w:vertAlign w:val="baseline"/>
              </w:rPr>
              <w:t xml:space="preserve">(гр.7+гр.10+гр.13)/3,</w:t>
              <w:br/>
              <w:t xml:space="preserve">где 3 – количество указанных источников ценовой информации 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2460" w:type="dxa"/>
            <w:vMerge w:val="restart"/>
            <w:tcBorders>
              <w:top w:val="single" w:color="000000" w:sz="12" w:space="0"/>
              <w:left w:val="single" w:color="000000" w:sz="12" w:space="0"/>
              <w:bottom w:val="none" w:color="000000" w:sz="4" w:space="0"/>
              <w:right w:val="single" w:color="000000" w:sz="12" w:space="0"/>
            </w:tcBorders>
            <w:shd w:val="clear" w:color="c5dfb2" w:fill="c5dfb2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szCs w:val="16"/>
                <w:u w:val="none"/>
                <w:vertAlign w:val="baseline"/>
              </w:rPr>
              <w:t xml:space="preserve">% отклонения цены за ед. в смете от средне арифметической 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2460" w:type="dxa"/>
            <w:vMerge w:val="restart"/>
            <w:tcBorders>
              <w:top w:val="single" w:color="000000" w:sz="12" w:space="0"/>
              <w:left w:val="single" w:color="000000" w:sz="12" w:space="0"/>
              <w:bottom w:val="none" w:color="000000" w:sz="4" w:space="0"/>
              <w:right w:val="single" w:color="000000" w:sz="12" w:space="0"/>
            </w:tcBorders>
            <w:shd w:val="clear" w:color="9cc4e5" w:fill="9cc4e5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szCs w:val="16"/>
                <w:u w:val="none"/>
                <w:vertAlign w:val="baseline"/>
              </w:rPr>
              <w:t xml:space="preserve">Цена</w:t>
            </w:r>
            <w:r>
              <w:rPr>
                <w:rFonts w:ascii="Arial" w:hAnsi="Arial" w:eastAsia="Arial" w:cs="Arial"/>
                <w:b/>
                <w:i w:val="0"/>
                <w:strike w:val="0"/>
                <w:color w:val="ff0000"/>
                <w:sz w:val="16"/>
                <w:szCs w:val="16"/>
                <w:u w:val="none"/>
                <w:vertAlign w:val="baseline"/>
              </w:rPr>
              <w:t xml:space="preserve"> </w:t>
            </w:r>
            <w:r>
              <w:rPr>
                <w:rFonts w:ascii="Arial" w:hAnsi="Arial" w:eastAsia="Arial" w:cs="Arial"/>
                <w:b/>
                <w:i w:val="0"/>
                <w:strike w:val="0"/>
                <w:color w:val="00b050"/>
                <w:sz w:val="16"/>
                <w:szCs w:val="16"/>
                <w:u w:val="none"/>
                <w:vertAlign w:val="baseline"/>
              </w:rPr>
              <w:t xml:space="preserve">(за весь объем по смете)</w:t>
            </w: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szCs w:val="16"/>
                <w:u w:val="none"/>
                <w:vertAlign w:val="baseline"/>
              </w:rPr>
              <w:t xml:space="preserve">, руб. без НДС</w:t>
              <w:br/>
            </w: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szCs w:val="16"/>
                <w:u w:val="none"/>
                <w:vertAlign w:val="baseline"/>
              </w:rPr>
              <w:t xml:space="preserve">(гр.4*гр.5)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4275" w:type="dxa"/>
            <w:vMerge w:val="restart"/>
            <w:tcBorders>
              <w:top w:val="single" w:color="000000" w:sz="12" w:space="0"/>
              <w:left w:val="single" w:color="000000" w:sz="12" w:space="0"/>
              <w:bottom w:val="none" w:color="000000" w:sz="4" w:space="0"/>
              <w:right w:val="single" w:color="000000" w:sz="12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szCs w:val="16"/>
                <w:u w:val="none"/>
                <w:vertAlign w:val="baseline"/>
              </w:rPr>
              <w:t xml:space="preserve">КОММЕНТАРИЙ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945" w:type="dxa"/>
            <w:tcBorders>
              <w:top w:val="none" w:color="000000" w:sz="4" w:space="0"/>
              <w:left w:val="single" w:color="000000" w:sz="12" w:space="0"/>
              <w:bottom w:val="none" w:color="000000" w:sz="4" w:space="0"/>
              <w:right w:val="none" w:color="000000" w:sz="4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rPr>
                <w:sz w:val="16"/>
                <w:szCs w:val="16"/>
              </w:rPr>
            </w:pPr>
            <w:r>
              <w:rPr>
                <w:rFonts w:ascii="Calibri" w:hAnsi="Calibri" w:eastAsia="Calibri" w:cs="Calibri"/>
                <w:b w:val="0"/>
                <w:i w:val="0"/>
                <w:strike w:val="0"/>
                <w:color w:val="000000"/>
                <w:sz w:val="16"/>
                <w:szCs w:val="16"/>
                <w:u w:val="none"/>
                <w:vertAlign w:val="baseline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4095" w:type="dxa"/>
            <w:gridSpan w:val="3"/>
            <w:vMerge w:val="restart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c5dfb2" w:fill="c5dfb2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szCs w:val="16"/>
                <w:u w:val="none"/>
                <w:vertAlign w:val="baseline"/>
              </w:rPr>
              <w:t xml:space="preserve">% отклонения от среднеарифметической (не должен быть более 20%)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rPr>
          <w:trHeight w:val="285"/>
        </w:trPr>
        <w:tblPrEx/>
        <w:tc>
          <w:tcPr>
            <w:tcW w:w="765" w:type="dxa"/>
            <w:vMerge w:val="continue"/>
            <w:tcBorders>
              <w:top w:val="none" w:color="000000" w:sz="4" w:space="0"/>
              <w:left w:val="single" w:color="000000" w:sz="12" w:space="0"/>
              <w:bottom w:val="none" w:color="000000" w:sz="4" w:space="0"/>
              <w:right w:val="single" w:color="000000" w:sz="12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</w:r>
          </w:p>
        </w:tc>
        <w:tc>
          <w:tcPr>
            <w:tcW w:w="2460" w:type="dxa"/>
            <w:vMerge w:val="continue"/>
            <w:tcBorders>
              <w:top w:val="none" w:color="000000" w:sz="4" w:space="0"/>
              <w:left w:val="single" w:color="000000" w:sz="12" w:space="0"/>
              <w:bottom w:val="none" w:color="000000" w:sz="4" w:space="0"/>
              <w:right w:val="single" w:color="000000" w:sz="12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</w:r>
          </w:p>
        </w:tc>
        <w:tc>
          <w:tcPr>
            <w:tcW w:w="1500" w:type="dxa"/>
            <w:vMerge w:val="continue"/>
            <w:tcBorders>
              <w:top w:val="none" w:color="000000" w:sz="4" w:space="0"/>
              <w:left w:val="single" w:color="000000" w:sz="12" w:space="0"/>
              <w:bottom w:val="none" w:color="000000" w:sz="4" w:space="0"/>
              <w:right w:val="single" w:color="000000" w:sz="12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</w:r>
          </w:p>
        </w:tc>
        <w:tc>
          <w:tcPr>
            <w:tcW w:w="1680" w:type="dxa"/>
            <w:vMerge w:val="continue"/>
            <w:tcBorders>
              <w:top w:val="none" w:color="000000" w:sz="4" w:space="0"/>
              <w:left w:val="single" w:color="000000" w:sz="12" w:space="0"/>
              <w:bottom w:val="none" w:color="000000" w:sz="4" w:space="0"/>
              <w:right w:val="single" w:color="000000" w:sz="12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</w:r>
          </w:p>
        </w:tc>
        <w:tc>
          <w:tcPr>
            <w:tcW w:w="1680" w:type="dxa"/>
            <w:vMerge w:val="continue"/>
            <w:tcBorders>
              <w:top w:val="none" w:color="000000" w:sz="4" w:space="0"/>
              <w:left w:val="single" w:color="000000" w:sz="12" w:space="0"/>
              <w:bottom w:val="none" w:color="000000" w:sz="4" w:space="0"/>
              <w:right w:val="single" w:color="000000" w:sz="12" w:space="0"/>
            </w:tcBorders>
            <w:shd w:val="clear" w:color="c5dfb2" w:fill="c5dfb2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</w:r>
          </w:p>
        </w:tc>
        <w:tc>
          <w:tcPr>
            <w:tcW w:w="5805" w:type="dxa"/>
            <w:gridSpan w:val="3"/>
            <w:vMerge w:val="continue"/>
            <w:tcBorders>
              <w:top w:val="none" w:color="000000" w:sz="4" w:space="0"/>
              <w:left w:val="single" w:color="000000" w:sz="12" w:space="0"/>
              <w:bottom w:val="single" w:color="000000" w:sz="12" w:space="0"/>
              <w:right w:val="none" w:color="000000" w:sz="4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Calibri" w:hAnsi="Calibri" w:eastAsia="Calibri" w:cs="Calibri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r>
          </w:p>
        </w:tc>
        <w:tc>
          <w:tcPr>
            <w:tcW w:w="5580" w:type="dxa"/>
            <w:gridSpan w:val="3"/>
            <w:vMerge w:val="continue"/>
            <w:tcBorders>
              <w:top w:val="none" w:color="000000" w:sz="4" w:space="0"/>
              <w:left w:val="single" w:color="000000" w:sz="12" w:space="0"/>
              <w:bottom w:val="single" w:color="000000" w:sz="12" w:space="0"/>
              <w:right w:val="none" w:color="000000" w:sz="4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Calibri" w:hAnsi="Calibri" w:eastAsia="Calibri" w:cs="Calibri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r>
          </w:p>
        </w:tc>
        <w:tc>
          <w:tcPr>
            <w:tcW w:w="5730" w:type="dxa"/>
            <w:gridSpan w:val="3"/>
            <w:vMerge w:val="continue"/>
            <w:tcBorders>
              <w:top w:val="none" w:color="000000" w:sz="4" w:space="0"/>
              <w:left w:val="single" w:color="000000" w:sz="12" w:space="0"/>
              <w:bottom w:val="single" w:color="000000" w:sz="12" w:space="0"/>
              <w:right w:val="none" w:color="000000" w:sz="4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Calibri" w:hAnsi="Calibri" w:eastAsia="Calibri" w:cs="Calibri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r>
          </w:p>
        </w:tc>
        <w:tc>
          <w:tcPr>
            <w:tcW w:w="2460" w:type="dxa"/>
            <w:vMerge w:val="continue"/>
            <w:tcBorders>
              <w:top w:val="none" w:color="000000" w:sz="4" w:space="0"/>
              <w:left w:val="single" w:color="000000" w:sz="12" w:space="0"/>
              <w:bottom w:val="none" w:color="000000" w:sz="4" w:space="0"/>
              <w:right w:val="single" w:color="000000" w:sz="12" w:space="0"/>
            </w:tcBorders>
            <w:shd w:val="clear" w:color="9cc4e5" w:fill="9cc4e5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32"/>
                <w:u w:val="none"/>
                <w:vertAlign w:val="baseline"/>
              </w:rPr>
            </w:r>
          </w:p>
        </w:tc>
        <w:tc>
          <w:tcPr>
            <w:tcW w:w="2460" w:type="dxa"/>
            <w:vMerge w:val="continue"/>
            <w:tcBorders>
              <w:top w:val="none" w:color="000000" w:sz="4" w:space="0"/>
              <w:left w:val="single" w:color="000000" w:sz="12" w:space="0"/>
              <w:bottom w:val="none" w:color="000000" w:sz="4" w:space="0"/>
              <w:right w:val="single" w:color="000000" w:sz="12" w:space="0"/>
            </w:tcBorders>
            <w:shd w:val="clear" w:color="c5dfb2" w:fill="c5dfb2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32"/>
                <w:u w:val="none"/>
                <w:vertAlign w:val="baseline"/>
              </w:rPr>
            </w:r>
          </w:p>
        </w:tc>
        <w:tc>
          <w:tcPr>
            <w:tcW w:w="2460" w:type="dxa"/>
            <w:vMerge w:val="continue"/>
            <w:tcBorders>
              <w:top w:val="none" w:color="000000" w:sz="4" w:space="0"/>
              <w:left w:val="single" w:color="000000" w:sz="12" w:space="0"/>
              <w:bottom w:val="none" w:color="000000" w:sz="4" w:space="0"/>
              <w:right w:val="single" w:color="000000" w:sz="12" w:space="0"/>
            </w:tcBorders>
            <w:shd w:val="clear" w:color="9cc4e5" w:fill="9cc4e5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32"/>
                <w:u w:val="none"/>
                <w:vertAlign w:val="baseline"/>
              </w:rPr>
            </w:r>
          </w:p>
        </w:tc>
        <w:tc>
          <w:tcPr>
            <w:tcW w:w="4275" w:type="dxa"/>
            <w:vMerge w:val="continue"/>
            <w:tcBorders>
              <w:top w:val="none" w:color="000000" w:sz="4" w:space="0"/>
              <w:left w:val="single" w:color="000000" w:sz="12" w:space="0"/>
              <w:bottom w:val="none" w:color="000000" w:sz="4" w:space="0"/>
              <w:right w:val="single" w:color="000000" w:sz="12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</w:r>
          </w:p>
        </w:tc>
        <w:tc>
          <w:tcPr>
            <w:tcW w:w="945" w:type="dxa"/>
            <w:tcBorders>
              <w:top w:val="none" w:color="000000" w:sz="4" w:space="0"/>
              <w:left w:val="single" w:color="000000" w:sz="12" w:space="0"/>
              <w:bottom w:val="none" w:color="000000" w:sz="4" w:space="0"/>
              <w:right w:val="none" w:color="000000" w:sz="4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rPr>
                <w:sz w:val="16"/>
                <w:szCs w:val="16"/>
              </w:rPr>
            </w:pPr>
            <w:r>
              <w:rPr>
                <w:rFonts w:ascii="Calibri" w:hAnsi="Calibri" w:eastAsia="Calibri" w:cs="Calibri"/>
                <w:b w:val="0"/>
                <w:i w:val="0"/>
                <w:strike w:val="0"/>
                <w:color w:val="000000"/>
                <w:sz w:val="16"/>
                <w:szCs w:val="16"/>
                <w:u w:val="none"/>
                <w:vertAlign w:val="baseline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4095" w:type="dxa"/>
            <w:gridSpan w:val="3"/>
            <w:vMerge w:val="continue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shd w:val="clear" w:color="c5dfb2" w:fill="c5dfb2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</w:r>
          </w:p>
        </w:tc>
      </w:tr>
      <w:tr>
        <w:trPr>
          <w:trHeight w:val="2700"/>
        </w:trPr>
        <w:tblPrEx/>
        <w:tc>
          <w:tcPr>
            <w:tcW w:w="765" w:type="dxa"/>
            <w:vMerge w:val="continue"/>
            <w:tcBorders>
              <w:top w:val="none" w:color="000000" w:sz="4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</w:r>
          </w:p>
        </w:tc>
        <w:tc>
          <w:tcPr>
            <w:tcW w:w="2460" w:type="dxa"/>
            <w:vMerge w:val="continue"/>
            <w:tcBorders>
              <w:top w:val="none" w:color="000000" w:sz="4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</w:r>
          </w:p>
        </w:tc>
        <w:tc>
          <w:tcPr>
            <w:tcW w:w="1500" w:type="dxa"/>
            <w:vMerge w:val="continue"/>
            <w:tcBorders>
              <w:top w:val="none" w:color="000000" w:sz="4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</w:r>
          </w:p>
        </w:tc>
        <w:tc>
          <w:tcPr>
            <w:tcW w:w="1680" w:type="dxa"/>
            <w:vMerge w:val="continue"/>
            <w:tcBorders>
              <w:top w:val="none" w:color="000000" w:sz="4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</w:r>
          </w:p>
        </w:tc>
        <w:tc>
          <w:tcPr>
            <w:tcW w:w="1680" w:type="dxa"/>
            <w:vMerge w:val="continue"/>
            <w:tcBorders>
              <w:top w:val="none" w:color="000000" w:sz="4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c5dfb2" w:fill="c5dfb2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</w:r>
          </w:p>
        </w:tc>
        <w:tc>
          <w:tcPr>
            <w:tcW w:w="2130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f2f2f2" w:fill="f2f2f2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szCs w:val="16"/>
                <w:u w:val="none"/>
                <w:vertAlign w:val="baseline"/>
              </w:rPr>
              <w:t xml:space="preserve">Наименование источника информации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1845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f2f2f2" w:fill="f2f2f2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szCs w:val="16"/>
                <w:u w:val="none"/>
                <w:vertAlign w:val="baseline"/>
              </w:rPr>
              <w:t xml:space="preserve">Стоимость продукции (за единицу), руб. без НДС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1830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f2f2f2" w:fill="f2f2f2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szCs w:val="16"/>
                <w:u w:val="none"/>
                <w:vertAlign w:val="baseline"/>
              </w:rPr>
              <w:t xml:space="preserve">Стоимость продукции (за весь объем), руб. без НДС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1995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f2f2f2" w:fill="f2f2f2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szCs w:val="16"/>
                <w:u w:val="none"/>
                <w:vertAlign w:val="baseline"/>
              </w:rPr>
              <w:t xml:space="preserve">Наименование источника информации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1710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f2f2f2" w:fill="f2f2f2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szCs w:val="16"/>
                <w:u w:val="none"/>
                <w:vertAlign w:val="baseline"/>
              </w:rPr>
              <w:t xml:space="preserve">Стоимость продукции (за единицу), руб. без НДС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1875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f2f2f2" w:fill="f2f2f2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szCs w:val="16"/>
                <w:u w:val="none"/>
                <w:vertAlign w:val="baseline"/>
              </w:rPr>
              <w:t xml:space="preserve">Стоимость продукции (за весь объем), руб. без НДС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1845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f2f2f2" w:fill="f2f2f2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szCs w:val="16"/>
                <w:u w:val="none"/>
                <w:vertAlign w:val="baseline"/>
              </w:rPr>
              <w:t xml:space="preserve">Наименование источника информации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1815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f2f2f2" w:fill="f2f2f2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szCs w:val="16"/>
                <w:u w:val="none"/>
                <w:vertAlign w:val="baseline"/>
              </w:rPr>
              <w:t xml:space="preserve">Стоимость продукции (за единицу) с учетом ценообразующих факторов, тыс. руб. без НДС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2070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f2f2f2" w:fill="f2f2f2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szCs w:val="16"/>
                <w:u w:val="none"/>
                <w:vertAlign w:val="baseline"/>
              </w:rPr>
              <w:t xml:space="preserve">Стоимость продукции (за весь объем) с учетом ценообразующих факторов, руб. без НДС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2460" w:type="dxa"/>
            <w:vMerge w:val="continue"/>
            <w:tcBorders>
              <w:top w:val="none" w:color="000000" w:sz="4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9cc4e5" w:fill="9cc4e5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32"/>
                <w:u w:val="none"/>
                <w:vertAlign w:val="baseline"/>
              </w:rPr>
            </w:r>
          </w:p>
        </w:tc>
        <w:tc>
          <w:tcPr>
            <w:tcW w:w="2460" w:type="dxa"/>
            <w:vMerge w:val="continue"/>
            <w:tcBorders>
              <w:top w:val="none" w:color="000000" w:sz="4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c5dfb2" w:fill="c5dfb2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32"/>
                <w:u w:val="none"/>
                <w:vertAlign w:val="baseline"/>
              </w:rPr>
            </w:r>
          </w:p>
        </w:tc>
        <w:tc>
          <w:tcPr>
            <w:tcW w:w="2460" w:type="dxa"/>
            <w:vMerge w:val="continue"/>
            <w:tcBorders>
              <w:top w:val="none" w:color="000000" w:sz="4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9cc4e5" w:fill="9cc4e5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32"/>
                <w:u w:val="none"/>
                <w:vertAlign w:val="baseline"/>
              </w:rPr>
            </w:r>
          </w:p>
        </w:tc>
        <w:tc>
          <w:tcPr>
            <w:tcW w:w="4275" w:type="dxa"/>
            <w:vMerge w:val="continue"/>
            <w:tcBorders>
              <w:top w:val="none" w:color="000000" w:sz="4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</w:r>
          </w:p>
        </w:tc>
        <w:tc>
          <w:tcPr>
            <w:tcW w:w="945" w:type="dxa"/>
            <w:tcBorders>
              <w:top w:val="none" w:color="000000" w:sz="4" w:space="0"/>
              <w:left w:val="single" w:color="000000" w:sz="12" w:space="0"/>
              <w:bottom w:val="none" w:color="000000" w:sz="4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rPr>
                <w:sz w:val="16"/>
                <w:szCs w:val="16"/>
              </w:rPr>
            </w:pPr>
            <w:r>
              <w:rPr>
                <w:rFonts w:ascii="Calibri" w:hAnsi="Calibri" w:eastAsia="Calibri" w:cs="Calibri"/>
                <w:b w:val="0"/>
                <w:i w:val="0"/>
                <w:strike w:val="0"/>
                <w:color w:val="000000"/>
                <w:sz w:val="16"/>
                <w:szCs w:val="16"/>
                <w:u w:val="none"/>
                <w:vertAlign w:val="baseline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13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c5dfb2" w:fill="c5dfb2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szCs w:val="16"/>
                <w:u w:val="none"/>
                <w:vertAlign w:val="baseline"/>
              </w:rPr>
              <w:t xml:space="preserve">Источник информации-1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13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c5dfb2" w:fill="c5dfb2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szCs w:val="16"/>
                <w:u w:val="none"/>
                <w:vertAlign w:val="baseline"/>
              </w:rPr>
              <w:t xml:space="preserve">Источник информации-2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13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c5dfb2" w:fill="c5dfb2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rFonts w:ascii="Arial" w:hAnsi="Arial" w:eastAsia="Arial" w:cs="Arial"/>
                <w:b/>
                <w:i w:val="0"/>
                <w:strike w:val="0"/>
                <w:color w:val="000000"/>
                <w:sz w:val="16"/>
                <w:szCs w:val="16"/>
                <w:u w:val="none"/>
                <w:vertAlign w:val="baseline"/>
              </w:rPr>
              <w:t xml:space="preserve">Источник информации-3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rPr>
          <w:trHeight w:val="300"/>
        </w:trPr>
        <w:tblPrEx/>
        <w:tc>
          <w:tcPr>
            <w:tcW w:w="765" w:type="dxa"/>
            <w:tcBorders>
              <w:top w:val="single" w:color="000000" w:sz="12" w:space="0"/>
              <w:left w:val="single" w:color="212934" w:sz="6" w:space="0"/>
              <w:bottom w:val="single" w:color="000000" w:sz="6" w:space="0"/>
              <w:right w:val="single" w:color="212934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szCs w:val="16"/>
                <w:u w:val="none"/>
                <w:vertAlign w:val="baseline"/>
              </w:rPr>
              <w:t xml:space="preserve">1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2460" w:type="dxa"/>
            <w:tcBorders>
              <w:top w:val="single" w:color="000000" w:sz="12" w:space="0"/>
              <w:left w:val="single" w:color="212934" w:sz="6" w:space="0"/>
              <w:bottom w:val="none" w:color="000000" w:sz="4" w:space="0"/>
              <w:right w:val="single" w:color="212934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szCs w:val="16"/>
                <w:u w:val="none"/>
                <w:vertAlign w:val="baseline"/>
              </w:rPr>
              <w:t xml:space="preserve">2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1500" w:type="dxa"/>
            <w:tcBorders>
              <w:top w:val="single" w:color="000000" w:sz="12" w:space="0"/>
              <w:left w:val="single" w:color="212934" w:sz="6" w:space="0"/>
              <w:bottom w:val="none" w:color="000000" w:sz="4" w:space="0"/>
              <w:right w:val="single" w:color="212934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szCs w:val="16"/>
                <w:u w:val="none"/>
                <w:vertAlign w:val="baseline"/>
              </w:rPr>
              <w:t xml:space="preserve">3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1680" w:type="dxa"/>
            <w:tcBorders>
              <w:top w:val="single" w:color="000000" w:sz="12" w:space="0"/>
              <w:left w:val="single" w:color="212934" w:sz="6" w:space="0"/>
              <w:bottom w:val="none" w:color="000000" w:sz="4" w:space="0"/>
              <w:right w:val="single" w:color="212934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szCs w:val="16"/>
                <w:u w:val="none"/>
                <w:vertAlign w:val="baseline"/>
              </w:rPr>
              <w:t xml:space="preserve">4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1680" w:type="dxa"/>
            <w:tcBorders>
              <w:top w:val="single" w:color="000000" w:sz="12" w:space="0"/>
              <w:left w:val="single" w:color="212934" w:sz="6" w:space="0"/>
              <w:bottom w:val="none" w:color="000000" w:sz="4" w:space="0"/>
              <w:right w:val="single" w:color="212934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szCs w:val="16"/>
                <w:u w:val="none"/>
                <w:vertAlign w:val="baseline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2130" w:type="dxa"/>
            <w:tcBorders>
              <w:top w:val="single" w:color="000000" w:sz="12" w:space="0"/>
              <w:left w:val="single" w:color="212934" w:sz="6" w:space="0"/>
              <w:bottom w:val="none" w:color="000000" w:sz="4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szCs w:val="16"/>
                <w:u w:val="none"/>
                <w:vertAlign w:val="baseline"/>
              </w:rPr>
              <w:t xml:space="preserve">5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1845" w:type="dxa"/>
            <w:tcBorders>
              <w:top w:val="single" w:color="000000" w:sz="12" w:space="0"/>
              <w:left w:val="single" w:color="212934" w:sz="6" w:space="0"/>
              <w:bottom w:val="none" w:color="000000" w:sz="4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szCs w:val="16"/>
                <w:u w:val="none"/>
                <w:vertAlign w:val="baseline"/>
              </w:rPr>
              <w:t xml:space="preserve">6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1830" w:type="dxa"/>
            <w:tcBorders>
              <w:top w:val="single" w:color="000000" w:sz="12" w:space="0"/>
              <w:left w:val="single" w:color="212934" w:sz="6" w:space="0"/>
              <w:bottom w:val="none" w:color="000000" w:sz="4" w:space="0"/>
              <w:right w:val="single" w:color="212934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szCs w:val="16"/>
                <w:u w:val="none"/>
                <w:vertAlign w:val="baseline"/>
              </w:rPr>
              <w:t xml:space="preserve">7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1995" w:type="dxa"/>
            <w:tcBorders>
              <w:top w:val="single" w:color="000000" w:sz="12" w:space="0"/>
              <w:left w:val="single" w:color="212934" w:sz="6" w:space="0"/>
              <w:bottom w:val="none" w:color="000000" w:sz="4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szCs w:val="16"/>
                <w:u w:val="none"/>
                <w:vertAlign w:val="baseline"/>
              </w:rPr>
              <w:t xml:space="preserve">8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1710" w:type="dxa"/>
            <w:tcBorders>
              <w:top w:val="single" w:color="000000" w:sz="12" w:space="0"/>
              <w:left w:val="single" w:color="212934" w:sz="6" w:space="0"/>
              <w:bottom w:val="none" w:color="000000" w:sz="4" w:space="0"/>
              <w:right w:val="single" w:color="212934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szCs w:val="16"/>
                <w:u w:val="none"/>
                <w:vertAlign w:val="baseline"/>
              </w:rPr>
              <w:t xml:space="preserve">9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1875" w:type="dxa"/>
            <w:tcBorders>
              <w:top w:val="single" w:color="000000" w:sz="12" w:space="0"/>
              <w:left w:val="single" w:color="212934" w:sz="6" w:space="0"/>
              <w:bottom w:val="none" w:color="000000" w:sz="4" w:space="0"/>
              <w:right w:val="single" w:color="212934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szCs w:val="16"/>
                <w:u w:val="none"/>
                <w:vertAlign w:val="baseline"/>
              </w:rPr>
              <w:t xml:space="preserve">10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1845" w:type="dxa"/>
            <w:tcBorders>
              <w:top w:val="single" w:color="000000" w:sz="12" w:space="0"/>
              <w:left w:val="single" w:color="212934" w:sz="6" w:space="0"/>
              <w:bottom w:val="none" w:color="000000" w:sz="4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szCs w:val="16"/>
                <w:u w:val="none"/>
                <w:vertAlign w:val="baseline"/>
              </w:rPr>
              <w:t xml:space="preserve">11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1815" w:type="dxa"/>
            <w:tcBorders>
              <w:top w:val="single" w:color="000000" w:sz="12" w:space="0"/>
              <w:left w:val="single" w:color="212934" w:sz="6" w:space="0"/>
              <w:bottom w:val="none" w:color="000000" w:sz="4" w:space="0"/>
              <w:right w:val="single" w:color="212934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szCs w:val="16"/>
                <w:u w:val="none"/>
                <w:vertAlign w:val="baseline"/>
              </w:rPr>
              <w:t xml:space="preserve">12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2070" w:type="dxa"/>
            <w:tcBorders>
              <w:top w:val="single" w:color="000000" w:sz="12" w:space="0"/>
              <w:left w:val="single" w:color="212934" w:sz="6" w:space="0"/>
              <w:bottom w:val="none" w:color="000000" w:sz="4" w:space="0"/>
              <w:right w:val="single" w:color="212934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szCs w:val="16"/>
                <w:u w:val="none"/>
                <w:vertAlign w:val="baseline"/>
              </w:rPr>
              <w:t xml:space="preserve">12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2460" w:type="dxa"/>
            <w:tcBorders>
              <w:top w:val="single" w:color="000000" w:sz="12" w:space="0"/>
              <w:left w:val="single" w:color="212934" w:sz="6" w:space="0"/>
              <w:bottom w:val="none" w:color="000000" w:sz="4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szCs w:val="16"/>
                <w:u w:val="none"/>
                <w:vertAlign w:val="baseline"/>
              </w:rPr>
              <w:t xml:space="preserve">15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2460" w:type="dxa"/>
            <w:tcBorders>
              <w:top w:val="single" w:color="000000" w:sz="12" w:space="0"/>
              <w:left w:val="single" w:color="212934" w:sz="6" w:space="0"/>
              <w:bottom w:val="none" w:color="000000" w:sz="4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szCs w:val="16"/>
                <w:u w:val="none"/>
                <w:vertAlign w:val="baseline"/>
              </w:rPr>
              <w:t xml:space="preserve">16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2460" w:type="dxa"/>
            <w:tcBorders>
              <w:top w:val="single" w:color="000000" w:sz="12" w:space="0"/>
              <w:left w:val="single" w:color="212934" w:sz="6" w:space="0"/>
              <w:bottom w:val="none" w:color="000000" w:sz="4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szCs w:val="16"/>
                <w:u w:val="none"/>
                <w:vertAlign w:val="baseline"/>
              </w:rPr>
              <w:t xml:space="preserve">17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4275" w:type="dxa"/>
            <w:tcBorders>
              <w:top w:val="single" w:color="000000" w:sz="12" w:space="0"/>
              <w:left w:val="single" w:color="212934" w:sz="6" w:space="0"/>
              <w:bottom w:val="none" w:color="000000" w:sz="4" w:space="0"/>
              <w:right w:val="single" w:color="000000" w:sz="6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szCs w:val="16"/>
                <w:u w:val="none"/>
                <w:vertAlign w:val="baseline"/>
              </w:rPr>
              <w:t xml:space="preserve">18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945" w:type="dxa"/>
            <w:tcBorders>
              <w:top w:val="none" w:color="000000" w:sz="4" w:space="0"/>
              <w:left w:val="single" w:color="000000" w:sz="6" w:space="0"/>
              <w:bottom w:val="none" w:color="000000" w:sz="4" w:space="0"/>
              <w:right w:val="none" w:color="000000" w:sz="4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szCs w:val="16"/>
                <w:u w:val="none"/>
                <w:vertAlign w:val="baseline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1365" w:type="dxa"/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szCs w:val="16"/>
                <w:u w:val="none"/>
                <w:vertAlign w:val="baseline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1365" w:type="dxa"/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szCs w:val="16"/>
                <w:u w:val="none"/>
                <w:vertAlign w:val="baseline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1365" w:type="dxa"/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16"/>
                <w:szCs w:val="16"/>
                <w:u w:val="none"/>
                <w:vertAlign w:val="baseline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</w:tbl>
    <w:p>
      <w:pPr>
        <w:ind w:left="0"/>
        <w:jc w:val="lef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0"/>
        <w:jc w:val="lef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0"/>
        <w:jc w:val="lef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0"/>
        <w:jc w:val="left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</w:r>
      <w:r>
        <w:rPr>
          <w:color w:val="000000"/>
          <w:sz w:val="16"/>
          <w:szCs w:val="16"/>
        </w:rPr>
      </w:r>
      <w:r>
        <w:rPr>
          <w:color w:val="000000"/>
          <w:sz w:val="16"/>
          <w:szCs w:val="16"/>
        </w:rPr>
      </w:r>
    </w:p>
    <w:sectPr>
      <w:footnotePr/>
      <w:endnotePr/>
      <w:type w:val="nextPage"/>
      <w:pgSz w:w="16838" w:h="11906" w:orient="landscape"/>
      <w:pgMar w:top="1417" w:right="850" w:bottom="850" w:left="1134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Courier New">
    <w:panose1 w:val="02070309020205020404"/>
  </w:font>
  <w:font w:name="Calibri">
    <w:panose1 w:val="020F0502020204030204"/>
  </w:font>
  <w:font w:name="Times New Roman">
    <w:panose1 w:val="02020603050405020304"/>
  </w:font>
  <w:font w:name="Arial">
    <w:panose1 w:val="020B060402020202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0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0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7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7" w:hanging="360"/>
      </w:pPr>
      <w:rPr>
        <w:rFonts w:hint="default" w:ascii="Wingdings" w:hAnsi="Wingdings" w:eastAsia="Wingdings" w:cs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76">
    <w:name w:val="Heading 1"/>
    <w:basedOn w:val="854"/>
    <w:next w:val="854"/>
    <w:link w:val="677"/>
    <w:uiPriority w:val="9"/>
    <w:qFormat/>
    <w:pPr>
      <w:keepNext/>
      <w:keepLines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77">
    <w:name w:val="Heading 1 Char"/>
    <w:basedOn w:val="855"/>
    <w:link w:val="676"/>
    <w:uiPriority w:val="9"/>
    <w:rPr>
      <w:rFonts w:ascii="Arial" w:hAnsi="Arial" w:eastAsia="Arial" w:cs="Arial"/>
      <w:sz w:val="40"/>
      <w:szCs w:val="40"/>
    </w:rPr>
  </w:style>
  <w:style w:type="paragraph" w:styleId="678">
    <w:name w:val="Heading 2"/>
    <w:basedOn w:val="854"/>
    <w:next w:val="854"/>
    <w:link w:val="679"/>
    <w:uiPriority w:val="9"/>
    <w:unhideWhenUsed/>
    <w:qFormat/>
    <w:pPr>
      <w:keepNext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79">
    <w:name w:val="Heading 2 Char"/>
    <w:basedOn w:val="855"/>
    <w:link w:val="678"/>
    <w:uiPriority w:val="9"/>
    <w:rPr>
      <w:rFonts w:ascii="Arial" w:hAnsi="Arial" w:eastAsia="Arial" w:cs="Arial"/>
      <w:sz w:val="34"/>
    </w:rPr>
  </w:style>
  <w:style w:type="paragraph" w:styleId="680">
    <w:name w:val="Heading 3"/>
    <w:basedOn w:val="854"/>
    <w:next w:val="854"/>
    <w:link w:val="681"/>
    <w:uiPriority w:val="9"/>
    <w:unhideWhenUsed/>
    <w:qFormat/>
    <w:pPr>
      <w:keepNext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81">
    <w:name w:val="Heading 3 Char"/>
    <w:basedOn w:val="855"/>
    <w:link w:val="680"/>
    <w:uiPriority w:val="9"/>
    <w:rPr>
      <w:rFonts w:ascii="Arial" w:hAnsi="Arial" w:eastAsia="Arial" w:cs="Arial"/>
      <w:sz w:val="30"/>
      <w:szCs w:val="30"/>
    </w:rPr>
  </w:style>
  <w:style w:type="paragraph" w:styleId="682">
    <w:name w:val="Heading 4"/>
    <w:basedOn w:val="854"/>
    <w:next w:val="854"/>
    <w:link w:val="683"/>
    <w:uiPriority w:val="9"/>
    <w:unhideWhenUsed/>
    <w:qFormat/>
    <w:pPr>
      <w:keepNext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83">
    <w:name w:val="Heading 4 Char"/>
    <w:basedOn w:val="855"/>
    <w:link w:val="682"/>
    <w:uiPriority w:val="9"/>
    <w:rPr>
      <w:rFonts w:ascii="Arial" w:hAnsi="Arial" w:eastAsia="Arial" w:cs="Arial"/>
      <w:b/>
      <w:bCs/>
      <w:sz w:val="26"/>
      <w:szCs w:val="26"/>
    </w:rPr>
  </w:style>
  <w:style w:type="paragraph" w:styleId="684">
    <w:name w:val="Heading 5"/>
    <w:basedOn w:val="854"/>
    <w:next w:val="854"/>
    <w:link w:val="685"/>
    <w:uiPriority w:val="9"/>
    <w:unhideWhenUsed/>
    <w:qFormat/>
    <w:pPr>
      <w:keepNext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85">
    <w:name w:val="Heading 5 Char"/>
    <w:basedOn w:val="855"/>
    <w:link w:val="684"/>
    <w:uiPriority w:val="9"/>
    <w:rPr>
      <w:rFonts w:ascii="Arial" w:hAnsi="Arial" w:eastAsia="Arial" w:cs="Arial"/>
      <w:b/>
      <w:bCs/>
      <w:sz w:val="24"/>
      <w:szCs w:val="24"/>
    </w:rPr>
  </w:style>
  <w:style w:type="paragraph" w:styleId="686">
    <w:name w:val="Heading 6"/>
    <w:basedOn w:val="854"/>
    <w:next w:val="854"/>
    <w:link w:val="687"/>
    <w:uiPriority w:val="9"/>
    <w:unhideWhenUsed/>
    <w:qFormat/>
    <w:pPr>
      <w:keepNext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87">
    <w:name w:val="Heading 6 Char"/>
    <w:basedOn w:val="855"/>
    <w:link w:val="686"/>
    <w:uiPriority w:val="9"/>
    <w:rPr>
      <w:rFonts w:ascii="Arial" w:hAnsi="Arial" w:eastAsia="Arial" w:cs="Arial"/>
      <w:b/>
      <w:bCs/>
      <w:sz w:val="22"/>
      <w:szCs w:val="22"/>
    </w:rPr>
  </w:style>
  <w:style w:type="paragraph" w:styleId="688">
    <w:name w:val="Heading 7"/>
    <w:basedOn w:val="854"/>
    <w:next w:val="854"/>
    <w:link w:val="689"/>
    <w:uiPriority w:val="9"/>
    <w:unhideWhenUsed/>
    <w:qFormat/>
    <w:pPr>
      <w:keepNext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89">
    <w:name w:val="Heading 7 Char"/>
    <w:basedOn w:val="855"/>
    <w:link w:val="68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90">
    <w:name w:val="Heading 8"/>
    <w:basedOn w:val="854"/>
    <w:next w:val="854"/>
    <w:link w:val="691"/>
    <w:uiPriority w:val="9"/>
    <w:unhideWhenUsed/>
    <w:qFormat/>
    <w:pPr>
      <w:keepNext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91">
    <w:name w:val="Heading 8 Char"/>
    <w:basedOn w:val="855"/>
    <w:link w:val="690"/>
    <w:uiPriority w:val="9"/>
    <w:rPr>
      <w:rFonts w:ascii="Arial" w:hAnsi="Arial" w:eastAsia="Arial" w:cs="Arial"/>
      <w:i/>
      <w:iCs/>
      <w:sz w:val="22"/>
      <w:szCs w:val="22"/>
    </w:rPr>
  </w:style>
  <w:style w:type="paragraph" w:styleId="692">
    <w:name w:val="Heading 9"/>
    <w:basedOn w:val="854"/>
    <w:next w:val="854"/>
    <w:link w:val="693"/>
    <w:uiPriority w:val="9"/>
    <w:unhideWhenUsed/>
    <w:qFormat/>
    <w:pPr>
      <w:keepNext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93">
    <w:name w:val="Heading 9 Char"/>
    <w:basedOn w:val="855"/>
    <w:link w:val="692"/>
    <w:uiPriority w:val="9"/>
    <w:rPr>
      <w:rFonts w:ascii="Arial" w:hAnsi="Arial" w:eastAsia="Arial" w:cs="Arial"/>
      <w:i/>
      <w:iCs/>
      <w:sz w:val="21"/>
      <w:szCs w:val="21"/>
    </w:rPr>
  </w:style>
  <w:style w:type="paragraph" w:styleId="694">
    <w:name w:val="List Paragraph"/>
    <w:basedOn w:val="854"/>
    <w:uiPriority w:val="34"/>
    <w:qFormat/>
    <w:pPr>
      <w:ind w:left="720"/>
      <w:contextualSpacing/>
    </w:pPr>
  </w:style>
  <w:style w:type="paragraph" w:styleId="695">
    <w:name w:val="No Spacing"/>
    <w:uiPriority w:val="1"/>
    <w:qFormat/>
    <w:pPr>
      <w:spacing w:before="0" w:after="0" w:line="240" w:lineRule="auto"/>
    </w:pPr>
  </w:style>
  <w:style w:type="paragraph" w:styleId="696">
    <w:name w:val="Title"/>
    <w:basedOn w:val="854"/>
    <w:next w:val="854"/>
    <w:link w:val="697"/>
    <w:uiPriority w:val="10"/>
    <w:qFormat/>
    <w:pPr>
      <w:spacing w:before="300" w:after="200"/>
      <w:contextualSpacing/>
    </w:pPr>
    <w:rPr>
      <w:sz w:val="48"/>
      <w:szCs w:val="48"/>
    </w:rPr>
  </w:style>
  <w:style w:type="character" w:styleId="697">
    <w:name w:val="Title Char"/>
    <w:basedOn w:val="855"/>
    <w:link w:val="696"/>
    <w:uiPriority w:val="10"/>
    <w:rPr>
      <w:sz w:val="48"/>
      <w:szCs w:val="48"/>
    </w:rPr>
  </w:style>
  <w:style w:type="paragraph" w:styleId="698">
    <w:name w:val="Subtitle"/>
    <w:basedOn w:val="854"/>
    <w:next w:val="854"/>
    <w:link w:val="699"/>
    <w:uiPriority w:val="11"/>
    <w:qFormat/>
    <w:pPr>
      <w:spacing w:before="200" w:after="200"/>
    </w:pPr>
    <w:rPr>
      <w:sz w:val="24"/>
      <w:szCs w:val="24"/>
    </w:rPr>
  </w:style>
  <w:style w:type="character" w:styleId="699">
    <w:name w:val="Subtitle Char"/>
    <w:basedOn w:val="855"/>
    <w:link w:val="698"/>
    <w:uiPriority w:val="11"/>
    <w:rPr>
      <w:sz w:val="24"/>
      <w:szCs w:val="24"/>
    </w:rPr>
  </w:style>
  <w:style w:type="paragraph" w:styleId="700">
    <w:name w:val="Quote"/>
    <w:basedOn w:val="854"/>
    <w:next w:val="854"/>
    <w:link w:val="701"/>
    <w:uiPriority w:val="29"/>
    <w:qFormat/>
    <w:pPr>
      <w:ind w:left="720" w:right="720"/>
    </w:pPr>
    <w:rPr>
      <w:i/>
    </w:rPr>
  </w:style>
  <w:style w:type="character" w:styleId="701">
    <w:name w:val="Quote Char"/>
    <w:link w:val="700"/>
    <w:uiPriority w:val="29"/>
    <w:rPr>
      <w:i/>
    </w:rPr>
  </w:style>
  <w:style w:type="paragraph" w:styleId="702">
    <w:name w:val="Intense Quote"/>
    <w:basedOn w:val="854"/>
    <w:next w:val="854"/>
    <w:link w:val="703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ind w:left="720" w:right="720"/>
      <w:contextualSpacing w:val="0"/>
    </w:pPr>
    <w:rPr>
      <w:i/>
    </w:rPr>
  </w:style>
  <w:style w:type="character" w:styleId="703">
    <w:name w:val="Intense Quote Char"/>
    <w:link w:val="702"/>
    <w:uiPriority w:val="30"/>
    <w:rPr>
      <w:i/>
    </w:rPr>
  </w:style>
  <w:style w:type="paragraph" w:styleId="704">
    <w:name w:val="Header"/>
    <w:basedOn w:val="854"/>
    <w:link w:val="705"/>
    <w:uiPriority w:val="99"/>
    <w:unhideWhenUsed/>
    <w:pPr>
      <w:tabs>
        <w:tab w:val="center" w:pos="7143" w:leader="none"/>
        <w:tab w:val="right" w:pos="14287" w:leader="none"/>
      </w:tabs>
      <w:spacing w:after="0" w:line="240" w:lineRule="auto"/>
    </w:pPr>
  </w:style>
  <w:style w:type="character" w:styleId="705">
    <w:name w:val="Header Char"/>
    <w:basedOn w:val="855"/>
    <w:link w:val="704"/>
    <w:uiPriority w:val="99"/>
  </w:style>
  <w:style w:type="paragraph" w:styleId="706">
    <w:name w:val="Footer"/>
    <w:basedOn w:val="854"/>
    <w:link w:val="709"/>
    <w:uiPriority w:val="99"/>
    <w:unhideWhenUsed/>
    <w:pPr>
      <w:tabs>
        <w:tab w:val="center" w:pos="7143" w:leader="none"/>
        <w:tab w:val="right" w:pos="14287" w:leader="none"/>
      </w:tabs>
      <w:spacing w:after="0" w:line="240" w:lineRule="auto"/>
    </w:pPr>
  </w:style>
  <w:style w:type="character" w:styleId="707">
    <w:name w:val="Footer Char"/>
    <w:basedOn w:val="855"/>
    <w:link w:val="706"/>
    <w:uiPriority w:val="99"/>
  </w:style>
  <w:style w:type="paragraph" w:styleId="708">
    <w:name w:val="Caption"/>
    <w:basedOn w:val="854"/>
    <w:next w:val="854"/>
    <w:link w:val="709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09">
    <w:name w:val="Caption Char"/>
    <w:basedOn w:val="708"/>
    <w:link w:val="706"/>
    <w:uiPriority w:val="99"/>
  </w:style>
  <w:style w:type="table" w:styleId="710">
    <w:name w:val="Table Grid"/>
    <w:basedOn w:val="856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1">
    <w:name w:val="Table Grid Light"/>
    <w:basedOn w:val="85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2">
    <w:name w:val="Plain Table 1"/>
    <w:basedOn w:val="85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3">
    <w:name w:val="Plain Table 2"/>
    <w:basedOn w:val="856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4">
    <w:name w:val="Plain Table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5">
    <w:name w:val="Plain Table 4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6">
    <w:name w:val="Plain Table 5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tcBorders>
          <w:right w:val="single" w:color="404040" w:sz="4" w:space="0"/>
        </w:tcBorders>
        <w:shd w:val="clear" w:color="ffffff"/>
      </w:tcPr>
    </w:tblStylePr>
    <w:tblStylePr w:type="firstRow">
      <w:rPr>
        <w:i/>
        <w:color w:val="404040"/>
      </w:rPr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left w:val="single" w:color="404040" w:sz="4" w:space="0"/>
        </w:tcBorders>
        <w:shd w:val="clear" w:color="ffffff"/>
      </w:tcPr>
    </w:tblStylePr>
    <w:tblStylePr w:type="lastRow">
      <w:rPr>
        <w:i/>
        <w:color w:val="404040"/>
      </w:rPr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7">
    <w:name w:val="Grid Table 1 Light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8">
    <w:name w:val="Grid Table 1 Light - Accent 1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9">
    <w:name w:val="Grid Table 1 Light - Accent 2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0">
    <w:name w:val="Grid Table 1 Light - Accent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1">
    <w:name w:val="Grid Table 1 Light - Accent 4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2">
    <w:name w:val="Grid Table 1 Light - Accent 5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3">
    <w:name w:val="Grid Table 1 Light - Accent 6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4">
    <w:name w:val="Grid Table 2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25">
    <w:name w:val="Grid Table 2 - Accent 1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26">
    <w:name w:val="Grid Table 2 - Accent 2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27">
    <w:name w:val="Grid Table 2 - Accent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28">
    <w:name w:val="Grid Table 2 - Accent 4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29">
    <w:name w:val="Grid Table 2 - Accent 5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30">
    <w:name w:val="Grid Table 2 - Accent 6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31">
    <w:name w:val="Grid Table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32">
    <w:name w:val="Grid Table 3 - Accent 1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33">
    <w:name w:val="Grid Table 3 - Accent 2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34">
    <w:name w:val="Grid Table 3 - Accent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35">
    <w:name w:val="Grid Table 3 - Accent 4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36">
    <w:name w:val="Grid Table 3 - Accent 5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37">
    <w:name w:val="Grid Table 3 - Accent 6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38">
    <w:name w:val="Grid Table 4"/>
    <w:basedOn w:val="85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9">
    <w:name w:val="Grid Table 4 - Accent 1"/>
    <w:basedOn w:val="85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  <w:shd w:val="clear" w:color="ffffff" w:themeColor="accent1" w:themeTint="EA" w:fill="67a4d8" w:themeFill="accent1" w:themeFillTint="E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40">
    <w:name w:val="Grid Table 4 - Accent 2"/>
    <w:basedOn w:val="85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41">
    <w:name w:val="Grid Table 4 - Accent 3"/>
    <w:basedOn w:val="85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  <w:shd w:val="clear" w:color="ffffff" w:themeColor="accent3" w:themeTint="FE" w:fill="a5a5a5" w:themeFill="accent3" w:themeFillTint="FE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42">
    <w:name w:val="Grid Table 4 - Accent 4"/>
    <w:basedOn w:val="85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43">
    <w:name w:val="Grid Table 4 - Accent 5"/>
    <w:basedOn w:val="85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44">
    <w:name w:val="Grid Table 4 - Accent 6"/>
    <w:basedOn w:val="85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45">
    <w:name w:val="Grid Table 5 Dark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text1" w:fill="000000" w:themeFill="text1"/>
      </w:tcPr>
    </w:tblStylePr>
  </w:style>
  <w:style w:type="table" w:styleId="746">
    <w:name w:val="Grid Table 5 Dark- Accent 1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1" w:fill="5b9bd5" w:themeFill="accent1"/>
      </w:tcPr>
    </w:tblStylePr>
  </w:style>
  <w:style w:type="table" w:styleId="747">
    <w:name w:val="Grid Table 5 Dark - Accent 2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2" w:fill="ed7d31" w:themeFill="accent2"/>
      </w:tcPr>
    </w:tblStylePr>
  </w:style>
  <w:style w:type="table" w:styleId="748">
    <w:name w:val="Grid Table 5 Dark - Accent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3" w:fill="a5a5a5" w:themeFill="accent3"/>
      </w:tcPr>
    </w:tblStylePr>
  </w:style>
  <w:style w:type="table" w:styleId="749">
    <w:name w:val="Grid Table 5 Dark- Accent 4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4" w:fill="ffc000" w:themeFill="accent4"/>
      </w:tcPr>
    </w:tblStylePr>
  </w:style>
  <w:style w:type="table" w:styleId="750">
    <w:name w:val="Grid Table 5 Dark - Accent 5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5" w:fill="4472c4" w:themeFill="accent5"/>
      </w:tcPr>
    </w:tblStylePr>
  </w:style>
  <w:style w:type="table" w:styleId="751">
    <w:name w:val="Grid Table 5 Dark - Accent 6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6" w:fill="70ad47" w:themeFill="accent6"/>
      </w:tcPr>
    </w:tblStylePr>
  </w:style>
  <w:style w:type="table" w:styleId="752">
    <w:name w:val="Grid Table 6 Colorful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53">
    <w:name w:val="Grid Table 6 Colorful - Accent 1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54">
    <w:name w:val="Grid Table 6 Colorful - Accent 2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55">
    <w:name w:val="Grid Table 6 Colorful - Accent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56">
    <w:name w:val="Grid Table 6 Colorful - Accent 4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57">
    <w:name w:val="Grid Table 6 Colorful - Accent 5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8">
    <w:name w:val="Grid Table 6 Colorful - Accent 6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9">
    <w:name w:val="Grid Table 7 Colorful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  <w:shd w:val="clear" w:color="ffffff"/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60">
    <w:name w:val="Grid Table 7 Colorful - Accent 1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  <w:shd w:val="clear" w:color="ffffff"/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61">
    <w:name w:val="Grid Table 7 Colorful - Accent 2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  <w:shd w:val="clear" w:color="ffffff"/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62">
    <w:name w:val="Grid Table 7 Colorful - Accent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  <w:shd w:val="clear" w:color="ffffff"/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63">
    <w:name w:val="Grid Table 7 Colorful - Accent 4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  <w:shd w:val="clear" w:color="ffffff"/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64">
    <w:name w:val="Grid Table 7 Colorful - Accent 5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  <w:shd w:val="clear" w:color="ffffff"/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65">
    <w:name w:val="Grid Table 7 Colorful - Accent 6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  <w:shd w:val="clear" w:color="ffffff"/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66">
    <w:name w:val="List Table 1 Light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List Table 1 Light - Accent 1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List Table 1 Light - Accent 2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List Table 1 Light - Accent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List Table 1 Light - Accent 4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List Table 1 Light - Accent 5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List Table 1 Light - Accent 6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>
    <w:name w:val="List Table 2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74">
    <w:name w:val="List Table 2 - Accent 1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75">
    <w:name w:val="List Table 2 - Accent 2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76">
    <w:name w:val="List Table 2 - Accent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77">
    <w:name w:val="List Table 2 - Accent 4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78">
    <w:name w:val="List Table 2 - Accent 5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79">
    <w:name w:val="List Table 2 - Accent 6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80">
    <w:name w:val="List Table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List Table 3 - Accent 1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3 - Accent 2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List Table 3 - Accent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List Table 3 - Accent 4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List Table 3 - Accent 5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List Table 3 - Accent 6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List Table 4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>
    <w:name w:val="List Table 4 - Accent 1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List Table 4 - Accent 2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>
    <w:name w:val="List Table 4 - Accent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>
    <w:name w:val="List Table 4 - Accent 4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>
    <w:name w:val="List Table 4 - Accent 5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>
    <w:name w:val="List Table 4 - Accent 6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>
    <w:name w:val="List Table 5 Dark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text1" w:themeTint="80" w:sz="32" w:space="0"/>
          <w:bottom w:val="single" w:color="000000" w:themeColor="light1" w:sz="12" w:space="0"/>
        </w:tcBorders>
        <w:shd w:val="clear" w:color="ffffff" w:themeColor="text1" w:themeTint="80" w:fill="7f7f7f" w:themeFill="text1" w:themeFillTint="80"/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5">
    <w:name w:val="List Table 5 Dark - Accent 1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1" w:fill="5b9bd5" w:themeFill="accent1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1" w:fill="5b9bd5" w:themeFill="accent1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1" w:fill="5b9bd5" w:themeFill="accent1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1" w:sz="32" w:space="0"/>
          <w:bottom w:val="single" w:color="000000" w:themeColor="light1" w:sz="12" w:space="0"/>
        </w:tcBorders>
        <w:shd w:val="clear" w:color="ffffff" w:themeColor="accent1" w:fill="5b9bd5" w:themeFill="accent1"/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6">
    <w:name w:val="List Table 5 Dark - Accent 2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2" w:themeTint="97" w:fill="f4b185" w:themeFill="accent2" w:themeFillTint="97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2" w:themeTint="97" w:fill="f4b185" w:themeFill="accent2" w:themeFillTint="97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2" w:themeTint="97" w:fill="f4b185" w:themeFill="accent2" w:themeFillTint="97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2" w:themeTint="97" w:sz="32" w:space="0"/>
          <w:bottom w:val="single" w:color="000000" w:themeColor="light1" w:sz="12" w:space="0"/>
        </w:tcBorders>
        <w:shd w:val="clear" w:color="ffffff" w:themeColor="accent2" w:themeTint="97" w:fill="f4b185" w:themeFill="accent2" w:themeFillTint="97"/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7">
    <w:name w:val="List Table 5 Dark - Accent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3" w:themeTint="98" w:fill="c9c9c9" w:themeFill="accent3" w:themeFillTint="98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3" w:themeTint="98" w:fill="c9c9c9" w:themeFill="accent3" w:themeFillTint="98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3" w:themeTint="98" w:fill="c9c9c9" w:themeFill="accent3" w:themeFillTint="98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3" w:themeTint="98" w:sz="32" w:space="0"/>
          <w:bottom w:val="single" w:color="000000" w:themeColor="light1" w:sz="12" w:space="0"/>
        </w:tcBorders>
        <w:shd w:val="clear" w:color="ffffff" w:themeColor="accent3" w:themeTint="98" w:fill="c9c9c9" w:themeFill="accent3" w:themeFillTint="98"/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8">
    <w:name w:val="List Table 5 Dark - Accent 4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4" w:themeTint="9A" w:fill="ffd864" w:themeFill="accent4" w:themeFillTint="9A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4" w:themeTint="9A" w:fill="ffd864" w:themeFill="accent4" w:themeFillTint="9A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4" w:themeTint="9A" w:fill="ffd864" w:themeFill="accent4" w:themeFillTint="9A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4" w:themeTint="9A" w:sz="32" w:space="0"/>
          <w:bottom w:val="single" w:color="000000" w:themeColor="light1" w:sz="12" w:space="0"/>
        </w:tcBorders>
        <w:shd w:val="clear" w:color="ffffff" w:themeColor="accent4" w:themeTint="9A" w:fill="ffd864" w:themeFill="accent4" w:themeFillTint="9A"/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9">
    <w:name w:val="List Table 5 Dark - Accent 5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5" w:themeTint="9A" w:fill="8eabdb" w:themeFill="accent5" w:themeFillTint="9A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5" w:themeTint="9A" w:fill="8eabdb" w:themeFill="accent5" w:themeFillTint="9A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5" w:themeTint="9A" w:fill="8eabdb" w:themeFill="accent5" w:themeFillTint="9A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5" w:themeTint="9A" w:sz="32" w:space="0"/>
          <w:bottom w:val="single" w:color="000000" w:themeColor="light1" w:sz="12" w:space="0"/>
        </w:tcBorders>
        <w:shd w:val="clear" w:color="ffffff" w:themeColor="accent5" w:themeTint="9A" w:fill="8eabdb" w:themeFill="accent5" w:themeFillTint="9A"/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0">
    <w:name w:val="List Table 5 Dark - Accent 6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6" w:themeTint="98" w:fill="aad08f" w:themeFill="accent6" w:themeFillTint="98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6" w:themeTint="98" w:fill="aad08f" w:themeFill="accent6" w:themeFillTint="98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6" w:themeTint="98" w:fill="aad08f" w:themeFill="accent6" w:themeFillTint="98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6" w:themeTint="98" w:sz="32" w:space="0"/>
          <w:bottom w:val="single" w:color="000000" w:themeColor="light1" w:sz="12" w:space="0"/>
        </w:tcBorders>
        <w:shd w:val="clear" w:color="ffffff" w:themeColor="accent6" w:themeTint="98" w:fill="aad08f" w:themeFill="accent6" w:themeFillTint="98"/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1">
    <w:name w:val="List Table 6 Colorful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02">
    <w:name w:val="List Table 6 Colorful - Accent 1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03">
    <w:name w:val="List Table 6 Colorful - Accent 2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04">
    <w:name w:val="List Table 6 Colorful - Accent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05">
    <w:name w:val="List Table 6 Colorful - Accent 4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06">
    <w:name w:val="List Table 6 Colorful - Accent 5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07">
    <w:name w:val="List Table 6 Colorful - Accent 6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08">
    <w:name w:val="List Table 7 Colorful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  <w:shd w:val="clear" w:color="ffffff"/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09">
    <w:name w:val="List Table 7 Colorful - Accent 1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  <w:shd w:val="clear" w:color="ffffff"/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810">
    <w:name w:val="List Table 7 Colorful - Accent 2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  <w:shd w:val="clear" w:color="ffffff"/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811">
    <w:name w:val="List Table 7 Colorful - Accent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  <w:shd w:val="clear" w:color="ffffff"/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812">
    <w:name w:val="List Table 7 Colorful - Accent 4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  <w:shd w:val="clear" w:color="ffffff"/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813">
    <w:name w:val="List Table 7 Colorful - Accent 5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  <w:shd w:val="clear" w:color="ffffff"/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814">
    <w:name w:val="List Table 7 Colorful - Accent 6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  <w:shd w:val="clear" w:color="ffffff"/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815">
    <w:name w:val="Lined - Accent"/>
    <w:basedOn w:val="8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6">
    <w:name w:val="Lined - Accent 1"/>
    <w:basedOn w:val="8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17">
    <w:name w:val="Lined - Accent 2"/>
    <w:basedOn w:val="8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18">
    <w:name w:val="Lined - Accent 3"/>
    <w:basedOn w:val="8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19">
    <w:name w:val="Lined - Accent 4"/>
    <w:basedOn w:val="8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20">
    <w:name w:val="Lined - Accent 5"/>
    <w:basedOn w:val="8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21">
    <w:name w:val="Lined - Accent 6"/>
    <w:basedOn w:val="8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22">
    <w:name w:val="Bordered &amp; Lined - Accent"/>
    <w:basedOn w:val="8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23">
    <w:name w:val="Bordered &amp; Lined - Accent 1"/>
    <w:basedOn w:val="8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24">
    <w:name w:val="Bordered &amp; Lined - Accent 2"/>
    <w:basedOn w:val="8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25">
    <w:name w:val="Bordered &amp; Lined - Accent 3"/>
    <w:basedOn w:val="8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26">
    <w:name w:val="Bordered &amp; Lined - Accent 4"/>
    <w:basedOn w:val="8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27">
    <w:name w:val="Bordered &amp; Lined - Accent 5"/>
    <w:basedOn w:val="8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28">
    <w:name w:val="Bordered &amp; Lined - Accent 6"/>
    <w:basedOn w:val="8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29">
    <w:name w:val="Bordered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30">
    <w:name w:val="Bordered - Accent 1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31">
    <w:name w:val="Bordered - Accent 2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32">
    <w:name w:val="Bordered - Accent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33">
    <w:name w:val="Bordered - Accent 4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34">
    <w:name w:val="Bordered - Accent 5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35">
    <w:name w:val="Bordered - Accent 6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36">
    <w:name w:val="Hyperlink"/>
    <w:uiPriority w:val="99"/>
    <w:unhideWhenUsed/>
    <w:rPr>
      <w:color w:val="0000ff" w:themeColor="hyperlink"/>
      <w:u w:val="single"/>
    </w:rPr>
  </w:style>
  <w:style w:type="paragraph" w:styleId="837">
    <w:name w:val="footnote text"/>
    <w:basedOn w:val="854"/>
    <w:link w:val="838"/>
    <w:uiPriority w:val="99"/>
    <w:semiHidden/>
    <w:unhideWhenUsed/>
    <w:pPr>
      <w:spacing w:after="40" w:line="240" w:lineRule="auto"/>
    </w:pPr>
    <w:rPr>
      <w:sz w:val="18"/>
    </w:rPr>
  </w:style>
  <w:style w:type="character" w:styleId="838">
    <w:name w:val="Footnote Text Char"/>
    <w:link w:val="837"/>
    <w:uiPriority w:val="99"/>
    <w:rPr>
      <w:sz w:val="18"/>
    </w:rPr>
  </w:style>
  <w:style w:type="character" w:styleId="839">
    <w:name w:val="footnote reference"/>
    <w:basedOn w:val="855"/>
    <w:uiPriority w:val="99"/>
    <w:unhideWhenUsed/>
    <w:rPr>
      <w:vertAlign w:val="superscript"/>
    </w:rPr>
  </w:style>
  <w:style w:type="paragraph" w:styleId="840">
    <w:name w:val="endnote text"/>
    <w:basedOn w:val="854"/>
    <w:link w:val="841"/>
    <w:uiPriority w:val="99"/>
    <w:semiHidden/>
    <w:unhideWhenUsed/>
    <w:pPr>
      <w:spacing w:after="0" w:line="240" w:lineRule="auto"/>
    </w:pPr>
    <w:rPr>
      <w:sz w:val="20"/>
    </w:rPr>
  </w:style>
  <w:style w:type="character" w:styleId="841">
    <w:name w:val="Endnote Text Char"/>
    <w:link w:val="840"/>
    <w:uiPriority w:val="99"/>
    <w:rPr>
      <w:sz w:val="20"/>
    </w:rPr>
  </w:style>
  <w:style w:type="character" w:styleId="842">
    <w:name w:val="endnote reference"/>
    <w:basedOn w:val="855"/>
    <w:uiPriority w:val="99"/>
    <w:semiHidden/>
    <w:unhideWhenUsed/>
    <w:rPr>
      <w:vertAlign w:val="superscript"/>
    </w:rPr>
  </w:style>
  <w:style w:type="paragraph" w:styleId="843">
    <w:name w:val="toc 1"/>
    <w:basedOn w:val="854"/>
    <w:next w:val="854"/>
    <w:uiPriority w:val="39"/>
    <w:unhideWhenUsed/>
    <w:pPr>
      <w:spacing w:after="57"/>
      <w:ind w:left="0" w:right="0" w:firstLine="0"/>
    </w:pPr>
  </w:style>
  <w:style w:type="paragraph" w:styleId="844">
    <w:name w:val="toc 2"/>
    <w:basedOn w:val="854"/>
    <w:next w:val="854"/>
    <w:uiPriority w:val="39"/>
    <w:unhideWhenUsed/>
    <w:pPr>
      <w:spacing w:after="57"/>
      <w:ind w:left="283" w:right="0" w:firstLine="0"/>
    </w:pPr>
  </w:style>
  <w:style w:type="paragraph" w:styleId="845">
    <w:name w:val="toc 3"/>
    <w:basedOn w:val="854"/>
    <w:next w:val="854"/>
    <w:uiPriority w:val="39"/>
    <w:unhideWhenUsed/>
    <w:pPr>
      <w:spacing w:after="57"/>
      <w:ind w:left="567" w:right="0" w:firstLine="0"/>
    </w:pPr>
  </w:style>
  <w:style w:type="paragraph" w:styleId="846">
    <w:name w:val="toc 4"/>
    <w:basedOn w:val="854"/>
    <w:next w:val="854"/>
    <w:uiPriority w:val="39"/>
    <w:unhideWhenUsed/>
    <w:pPr>
      <w:spacing w:after="57"/>
      <w:ind w:left="850" w:right="0" w:firstLine="0"/>
    </w:pPr>
  </w:style>
  <w:style w:type="paragraph" w:styleId="847">
    <w:name w:val="toc 5"/>
    <w:basedOn w:val="854"/>
    <w:next w:val="854"/>
    <w:uiPriority w:val="39"/>
    <w:unhideWhenUsed/>
    <w:pPr>
      <w:spacing w:after="57"/>
      <w:ind w:left="1134" w:right="0" w:firstLine="0"/>
    </w:pPr>
  </w:style>
  <w:style w:type="paragraph" w:styleId="848">
    <w:name w:val="toc 6"/>
    <w:basedOn w:val="854"/>
    <w:next w:val="854"/>
    <w:uiPriority w:val="39"/>
    <w:unhideWhenUsed/>
    <w:pPr>
      <w:spacing w:after="57"/>
      <w:ind w:left="1417" w:right="0" w:firstLine="0"/>
    </w:pPr>
  </w:style>
  <w:style w:type="paragraph" w:styleId="849">
    <w:name w:val="toc 7"/>
    <w:basedOn w:val="854"/>
    <w:next w:val="854"/>
    <w:uiPriority w:val="39"/>
    <w:unhideWhenUsed/>
    <w:pPr>
      <w:spacing w:after="57"/>
      <w:ind w:left="1701" w:right="0" w:firstLine="0"/>
    </w:pPr>
  </w:style>
  <w:style w:type="paragraph" w:styleId="850">
    <w:name w:val="toc 8"/>
    <w:basedOn w:val="854"/>
    <w:next w:val="854"/>
    <w:uiPriority w:val="39"/>
    <w:unhideWhenUsed/>
    <w:pPr>
      <w:spacing w:after="57"/>
      <w:ind w:left="1984" w:right="0" w:firstLine="0"/>
    </w:pPr>
  </w:style>
  <w:style w:type="paragraph" w:styleId="851">
    <w:name w:val="toc 9"/>
    <w:basedOn w:val="854"/>
    <w:next w:val="854"/>
    <w:uiPriority w:val="39"/>
    <w:unhideWhenUsed/>
    <w:pPr>
      <w:spacing w:after="57"/>
      <w:ind w:left="2268" w:right="0" w:firstLine="0"/>
    </w:pPr>
  </w:style>
  <w:style w:type="paragraph" w:styleId="852">
    <w:name w:val="TOC Heading"/>
    <w:uiPriority w:val="39"/>
    <w:unhideWhenUsed/>
  </w:style>
  <w:style w:type="paragraph" w:styleId="853">
    <w:name w:val="table of figures"/>
    <w:basedOn w:val="854"/>
    <w:next w:val="854"/>
    <w:uiPriority w:val="99"/>
    <w:unhideWhenUsed/>
    <w:pPr>
      <w:spacing w:after="0" w:afterAutospacing="0"/>
    </w:pPr>
  </w:style>
  <w:style w:type="paragraph" w:styleId="854" w:default="1">
    <w:name w:val="Normal"/>
    <w:qFormat/>
  </w:style>
  <w:style w:type="character" w:styleId="855" w:default="1">
    <w:name w:val="Default Paragraph Font"/>
    <w:uiPriority w:val="1"/>
    <w:semiHidden/>
    <w:unhideWhenUsed/>
  </w:style>
  <w:style w:type="table" w:styleId="856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57" w:default="1">
    <w:name w:val="No List"/>
    <w:uiPriority w:val="99"/>
    <w:semiHidden/>
    <w:unhideWhenUsed/>
  </w:style>
  <w:style w:type="paragraph" w:styleId="858" w:customStyle="1">
    <w:name w:val="ConsPlusNormal"/>
    <w:pPr>
      <w:keepNext w:val="0"/>
      <w:keepLines w:val="0"/>
      <w:pageBreakBefore w:val="0"/>
      <w:widowControl w:val="off"/>
      <w:suppressLineNumbers w:val="0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hd w:val="nil"/>
      <w:spacing w:before="0" w:beforeAutospacing="0" w:after="0" w:afterAutospacing="0" w:line="240" w:lineRule="auto"/>
      <w:ind w:left="0" w:right="0" w:firstLine="720"/>
      <w:contextualSpacing w:val="0"/>
      <w:jc w:val="left"/>
    </w:pPr>
    <w:rPr>
      <w:rFonts w:ascii="Arial" w:hAnsi="Arial" w:eastAsia="Times New Roman" w:cs="Arial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859" w:customStyle="1">
    <w:name w:val="Цветной список - Акцент 1"/>
    <w:uiPriority w:val="34"/>
    <w:qFormat/>
    <w:pPr>
      <w:keepNext w:val="0"/>
      <w:keepLines w:val="0"/>
      <w:pageBreakBefore w:val="0"/>
      <w:widowControl/>
      <w:suppressLineNumbers w:val="0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hd w:val="nil"/>
      <w:spacing w:before="0" w:beforeAutospacing="0" w:after="0" w:afterAutospacing="0" w:line="276" w:lineRule="auto"/>
      <w:ind w:left="720" w:right="0" w:firstLine="0"/>
      <w:contextualSpacing/>
      <w:jc w:val="both"/>
    </w:pPr>
    <w:rPr>
      <w:rFonts w:ascii="Times New Roman" w:hAnsi="Times New Roman" w:eastAsia="Calibri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2"/>
      <w:highlight w:val="none"/>
      <w:u w:val="none"/>
      <w:vertAlign w:val="baseline"/>
      <w:rtl w:val="0"/>
      <w:cs w:val="0"/>
      <w:lang w:val="ru-RU" w:eastAsia="en-US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image" Target="media/image1.png"/><Relationship Id="rId12" Type="http://schemas.openxmlformats.org/officeDocument/2006/relationships/image" Target="media/image2.png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DVGK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Исаенко Любовь Юрьевна</dc:creator>
  <cp:keywords/>
  <dc:description/>
  <cp:lastModifiedBy>gonchar_ys</cp:lastModifiedBy>
  <cp:revision>41</cp:revision>
  <dcterms:created xsi:type="dcterms:W3CDTF">2024-04-18T03:22:00Z</dcterms:created>
  <dcterms:modified xsi:type="dcterms:W3CDTF">2026-01-30T05:29:05Z</dcterms:modified>
</cp:coreProperties>
</file>